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2A57" w14:textId="2155BA10" w:rsidR="0037151E" w:rsidRDefault="00B6657F" w:rsidP="008145E9">
      <w:pPr>
        <w:pStyle w:val="Heading1"/>
        <w:spacing w:after="60"/>
        <w:rPr>
          <w:lang w:val="en-US"/>
        </w:rPr>
      </w:pPr>
      <w:r>
        <w:rPr>
          <w:lang w:val="en-US"/>
        </w:rPr>
        <w:t xml:space="preserve">Admission of Underage Students </w:t>
      </w:r>
      <w:r w:rsidR="00576D45">
        <w:rPr>
          <w:lang w:val="en-US"/>
        </w:rPr>
        <w:t>Polic</w:t>
      </w:r>
      <w:r w:rsidR="00D60C11">
        <w:rPr>
          <w:lang w:val="en-US"/>
        </w:rPr>
        <w:t>y</w:t>
      </w:r>
    </w:p>
    <w:p w14:paraId="55333C99" w14:textId="77777777" w:rsidR="005A0932" w:rsidRDefault="005A0932" w:rsidP="008145E9">
      <w:pPr>
        <w:pStyle w:val="POPRHEADING2"/>
        <w:numPr>
          <w:ilvl w:val="0"/>
          <w:numId w:val="0"/>
        </w:numPr>
        <w:spacing w:before="60" w:after="60"/>
        <w:ind w:left="567"/>
      </w:pPr>
    </w:p>
    <w:p w14:paraId="29A89020" w14:textId="77777777" w:rsidR="00576D45" w:rsidRPr="00BD2B8C" w:rsidRDefault="005A0932" w:rsidP="008145E9">
      <w:pPr>
        <w:pStyle w:val="Heading3"/>
        <w:numPr>
          <w:ilvl w:val="0"/>
          <w:numId w:val="15"/>
        </w:numPr>
        <w:ind w:left="567" w:hanging="567"/>
        <w:rPr>
          <w:color w:val="000000" w:themeColor="text1"/>
        </w:rPr>
      </w:pPr>
      <w:r w:rsidRPr="00BD2B8C">
        <w:rPr>
          <w:color w:val="000000" w:themeColor="text1"/>
        </w:rPr>
        <w:t>Purpose</w:t>
      </w:r>
      <w:r w:rsidR="00A872DD">
        <w:rPr>
          <w:color w:val="000000" w:themeColor="text1"/>
        </w:rPr>
        <w:t xml:space="preserve"> </w:t>
      </w:r>
    </w:p>
    <w:p w14:paraId="3CF756EF" w14:textId="77777777" w:rsidR="00B6657F" w:rsidRPr="00B6657F" w:rsidRDefault="00B6657F" w:rsidP="00B6657F">
      <w:pPr>
        <w:jc w:val="both"/>
        <w:rPr>
          <w:sz w:val="20"/>
          <w:szCs w:val="20"/>
        </w:rPr>
      </w:pPr>
      <w:r w:rsidRPr="00B6657F">
        <w:rPr>
          <w:rFonts w:cs="Arial"/>
          <w:sz w:val="20"/>
          <w:szCs w:val="20"/>
        </w:rPr>
        <w:t>The purpose of this policy is to specify the conditions under which underage students will be enrolled into programs at the Gordon to support our obligations to protect this vulnerable student cohort under the Child Safe Standards and duty of care principles.</w:t>
      </w:r>
    </w:p>
    <w:p w14:paraId="2580D57C" w14:textId="77777777" w:rsidR="00DB6771" w:rsidRDefault="00DB6771" w:rsidP="00DB6771">
      <w:pPr>
        <w:rPr>
          <w:szCs w:val="20"/>
        </w:rPr>
      </w:pPr>
    </w:p>
    <w:p w14:paraId="6884401A" w14:textId="772480BF" w:rsidR="00576D45" w:rsidRPr="00B6657F" w:rsidRDefault="00576D45" w:rsidP="00B6657F">
      <w:pPr>
        <w:pStyle w:val="Heading3"/>
        <w:numPr>
          <w:ilvl w:val="0"/>
          <w:numId w:val="15"/>
        </w:numPr>
        <w:ind w:left="567" w:hanging="567"/>
        <w:rPr>
          <w:color w:val="000000" w:themeColor="text1"/>
        </w:rPr>
      </w:pPr>
      <w:r w:rsidRPr="00BD2B8C">
        <w:rPr>
          <w:color w:val="000000" w:themeColor="text1"/>
        </w:rPr>
        <w:t>Scope</w:t>
      </w:r>
    </w:p>
    <w:p w14:paraId="574F0AFE" w14:textId="77777777" w:rsidR="00B6657F" w:rsidRPr="00B6657F" w:rsidRDefault="00B6657F" w:rsidP="00B6657F">
      <w:pPr>
        <w:spacing w:line="280" w:lineRule="atLeast"/>
        <w:jc w:val="both"/>
        <w:rPr>
          <w:rFonts w:cs="Arial"/>
          <w:sz w:val="20"/>
          <w:szCs w:val="20"/>
        </w:rPr>
      </w:pPr>
      <w:r w:rsidRPr="00B6657F">
        <w:rPr>
          <w:rFonts w:cs="Arial"/>
          <w:sz w:val="20"/>
          <w:szCs w:val="20"/>
        </w:rPr>
        <w:t>This policy applies to all staff involved in admission and enrolment processes where the youth seeking admission to the Gordon is under 18 years of age. Additional requirements apply to:</w:t>
      </w:r>
    </w:p>
    <w:p w14:paraId="0E658E97" w14:textId="77777777" w:rsidR="00B6657F" w:rsidRPr="00B6657F" w:rsidRDefault="00B6657F" w:rsidP="00B6657F">
      <w:pPr>
        <w:pStyle w:val="ListParagraph"/>
        <w:numPr>
          <w:ilvl w:val="0"/>
          <w:numId w:val="22"/>
        </w:numPr>
        <w:spacing w:before="0" w:after="0" w:line="280" w:lineRule="atLeast"/>
        <w:ind w:left="567" w:hanging="567"/>
        <w:jc w:val="both"/>
        <w:rPr>
          <w:rFonts w:cs="Arial"/>
          <w:sz w:val="20"/>
          <w:szCs w:val="20"/>
        </w:rPr>
      </w:pPr>
      <w:r w:rsidRPr="00B6657F">
        <w:rPr>
          <w:rFonts w:cs="Arial"/>
          <w:sz w:val="20"/>
          <w:szCs w:val="20"/>
        </w:rPr>
        <w:t>Any youth seeking admission who is of compulsory school age</w:t>
      </w:r>
    </w:p>
    <w:p w14:paraId="691BE1F0" w14:textId="77777777" w:rsidR="00B6657F" w:rsidRPr="00B6657F" w:rsidRDefault="00B6657F" w:rsidP="00B6657F">
      <w:pPr>
        <w:pStyle w:val="ListParagraph"/>
        <w:numPr>
          <w:ilvl w:val="0"/>
          <w:numId w:val="22"/>
        </w:numPr>
        <w:spacing w:before="0" w:after="0" w:line="280" w:lineRule="atLeast"/>
        <w:ind w:left="567" w:hanging="567"/>
        <w:jc w:val="both"/>
        <w:rPr>
          <w:rFonts w:cs="Arial"/>
          <w:sz w:val="20"/>
          <w:szCs w:val="20"/>
        </w:rPr>
      </w:pPr>
      <w:r w:rsidRPr="00B6657F">
        <w:rPr>
          <w:rFonts w:cs="Arial"/>
          <w:sz w:val="20"/>
          <w:szCs w:val="20"/>
        </w:rPr>
        <w:t>Any youth seeking to establish a payment plan or VET Student Loan</w:t>
      </w:r>
    </w:p>
    <w:p w14:paraId="6DB79F08" w14:textId="77777777" w:rsidR="00B6657F" w:rsidRPr="00B6657F" w:rsidRDefault="00B6657F" w:rsidP="00B6657F">
      <w:pPr>
        <w:spacing w:line="280" w:lineRule="atLeast"/>
        <w:ind w:left="567"/>
        <w:jc w:val="both"/>
        <w:rPr>
          <w:rFonts w:cs="Arial"/>
          <w:sz w:val="20"/>
          <w:szCs w:val="20"/>
        </w:rPr>
      </w:pPr>
    </w:p>
    <w:p w14:paraId="385CF6DC" w14:textId="77777777" w:rsidR="00B6657F" w:rsidRPr="00B6657F" w:rsidRDefault="00B6657F" w:rsidP="00B6657F">
      <w:pPr>
        <w:spacing w:line="280" w:lineRule="atLeast"/>
        <w:jc w:val="both"/>
        <w:rPr>
          <w:rFonts w:cs="Arial"/>
          <w:sz w:val="20"/>
          <w:szCs w:val="20"/>
        </w:rPr>
      </w:pPr>
      <w:r w:rsidRPr="00B6657F">
        <w:rPr>
          <w:rFonts w:cs="Arial"/>
          <w:sz w:val="20"/>
          <w:szCs w:val="20"/>
        </w:rPr>
        <w:t xml:space="preserve">This policy </w:t>
      </w:r>
      <w:r w:rsidRPr="00B6657F">
        <w:rPr>
          <w:rFonts w:cs="Arial"/>
          <w:b/>
          <w:sz w:val="20"/>
          <w:szCs w:val="20"/>
        </w:rPr>
        <w:t>excludes</w:t>
      </w:r>
      <w:r w:rsidRPr="00B6657F">
        <w:rPr>
          <w:rFonts w:cs="Arial"/>
          <w:sz w:val="20"/>
          <w:szCs w:val="20"/>
        </w:rPr>
        <w:t xml:space="preserve"> the admission of students into:</w:t>
      </w:r>
    </w:p>
    <w:p w14:paraId="617720A0" w14:textId="77777777" w:rsidR="00B6657F" w:rsidRPr="00B6657F" w:rsidRDefault="00B6657F" w:rsidP="00B6657F">
      <w:pPr>
        <w:pStyle w:val="ListParagraph"/>
        <w:numPr>
          <w:ilvl w:val="0"/>
          <w:numId w:val="23"/>
        </w:numPr>
        <w:spacing w:before="0" w:after="0" w:line="280" w:lineRule="atLeast"/>
        <w:ind w:left="567" w:hanging="567"/>
        <w:jc w:val="both"/>
        <w:rPr>
          <w:rFonts w:cs="Arial"/>
          <w:sz w:val="20"/>
          <w:szCs w:val="20"/>
        </w:rPr>
      </w:pPr>
      <w:r w:rsidRPr="00B6657F">
        <w:rPr>
          <w:rFonts w:cs="Arial"/>
          <w:sz w:val="20"/>
          <w:szCs w:val="20"/>
        </w:rPr>
        <w:t>Short courses including Gordon approved short courses and Skill Sets offered during term breaks which are specifically designed for a youth cohort</w:t>
      </w:r>
    </w:p>
    <w:p w14:paraId="322B77A3" w14:textId="77777777" w:rsidR="00B6657F" w:rsidRPr="00B6657F" w:rsidRDefault="00B6657F" w:rsidP="00B6657F">
      <w:pPr>
        <w:pStyle w:val="ListParagraph"/>
        <w:numPr>
          <w:ilvl w:val="0"/>
          <w:numId w:val="23"/>
        </w:numPr>
        <w:spacing w:before="0" w:after="0" w:line="280" w:lineRule="atLeast"/>
        <w:ind w:left="567" w:hanging="567"/>
        <w:jc w:val="both"/>
        <w:rPr>
          <w:rFonts w:cs="Arial"/>
          <w:sz w:val="20"/>
          <w:szCs w:val="20"/>
        </w:rPr>
      </w:pPr>
      <w:r w:rsidRPr="00B6657F">
        <w:rPr>
          <w:rFonts w:cs="Arial"/>
          <w:sz w:val="20"/>
          <w:szCs w:val="20"/>
        </w:rPr>
        <w:t>Tertiary taster programs</w:t>
      </w:r>
    </w:p>
    <w:p w14:paraId="48997611" w14:textId="77777777" w:rsidR="00B6657F" w:rsidRPr="00B6657F" w:rsidRDefault="00B6657F" w:rsidP="00B6657F">
      <w:pPr>
        <w:pStyle w:val="ListParagraph"/>
        <w:numPr>
          <w:ilvl w:val="0"/>
          <w:numId w:val="23"/>
        </w:numPr>
        <w:spacing w:before="0" w:after="0" w:line="280" w:lineRule="atLeast"/>
        <w:ind w:left="567" w:hanging="567"/>
        <w:jc w:val="both"/>
        <w:rPr>
          <w:sz w:val="20"/>
          <w:szCs w:val="20"/>
        </w:rPr>
      </w:pPr>
      <w:r w:rsidRPr="00B6657F">
        <w:rPr>
          <w:rFonts w:cs="Arial"/>
          <w:sz w:val="20"/>
          <w:szCs w:val="20"/>
        </w:rPr>
        <w:t>Apprenticeships/traineeships which will be delivered and assessed solely in the young person’s workplace</w:t>
      </w:r>
    </w:p>
    <w:p w14:paraId="42533973" w14:textId="77777777" w:rsidR="00B6657F" w:rsidRPr="00B6657F" w:rsidRDefault="00B6657F" w:rsidP="00B6657F">
      <w:pPr>
        <w:pStyle w:val="ListParagraph"/>
        <w:numPr>
          <w:ilvl w:val="0"/>
          <w:numId w:val="23"/>
        </w:numPr>
        <w:spacing w:before="0" w:after="0" w:line="280" w:lineRule="atLeast"/>
        <w:ind w:left="567" w:hanging="567"/>
        <w:jc w:val="both"/>
        <w:rPr>
          <w:sz w:val="20"/>
          <w:szCs w:val="20"/>
        </w:rPr>
      </w:pPr>
      <w:r w:rsidRPr="00B6657F">
        <w:rPr>
          <w:rFonts w:cs="Arial"/>
          <w:sz w:val="20"/>
          <w:szCs w:val="20"/>
        </w:rPr>
        <w:t>VET Delivered to Secondary Schools (VDTSS) programs where the delivery occurs within a Department of Education managed senior secondary school or Trade Training Centre.</w:t>
      </w:r>
    </w:p>
    <w:p w14:paraId="295259E2" w14:textId="77777777" w:rsidR="00B6657F" w:rsidRDefault="00B6657F" w:rsidP="008145E9">
      <w:pPr>
        <w:ind w:left="567" w:hanging="567"/>
        <w:rPr>
          <w:szCs w:val="20"/>
        </w:rPr>
      </w:pPr>
    </w:p>
    <w:p w14:paraId="349C26FF" w14:textId="6109DC60" w:rsidR="00576D45" w:rsidRDefault="00B8726E" w:rsidP="008145E9">
      <w:pPr>
        <w:pStyle w:val="Heading3"/>
        <w:numPr>
          <w:ilvl w:val="0"/>
          <w:numId w:val="15"/>
        </w:numPr>
        <w:ind w:left="567" w:hanging="567"/>
        <w:rPr>
          <w:color w:val="000000" w:themeColor="text1"/>
        </w:rPr>
      </w:pPr>
      <w:r>
        <w:rPr>
          <w:color w:val="000000" w:themeColor="text1"/>
        </w:rPr>
        <w:t>Policy</w:t>
      </w:r>
      <w:r w:rsidR="00B6657F">
        <w:rPr>
          <w:color w:val="000000" w:themeColor="text1"/>
        </w:rPr>
        <w:t xml:space="preserve"> overview / principles</w:t>
      </w:r>
    </w:p>
    <w:p w14:paraId="4E407CF6" w14:textId="77777777" w:rsidR="00B6657F" w:rsidRPr="00B6657F" w:rsidRDefault="00B6657F" w:rsidP="00B6657F">
      <w:pPr>
        <w:spacing w:line="276" w:lineRule="auto"/>
        <w:jc w:val="both"/>
        <w:rPr>
          <w:rFonts w:cs="Arial"/>
          <w:sz w:val="20"/>
          <w:szCs w:val="20"/>
        </w:rPr>
      </w:pPr>
      <w:r w:rsidRPr="00B6657F">
        <w:rPr>
          <w:rFonts w:cs="Arial"/>
          <w:sz w:val="20"/>
          <w:szCs w:val="20"/>
        </w:rPr>
        <w:t>The Gordon is committed to the provision of quality vocational education and training programs which enhance the potential of youth to achieve their educational and career goals. This policy shall be implemented based on the following principles:</w:t>
      </w:r>
    </w:p>
    <w:p w14:paraId="1B06CC0D" w14:textId="77777777" w:rsidR="00B6657F" w:rsidRP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The Gordon believes that parents, guardians and carers play a valuable role in a young person’s learning and wellbeing through being actively informed about the enrolment and engaged in relevant decisions.</w:t>
      </w:r>
    </w:p>
    <w:p w14:paraId="6ECECAAA" w14:textId="77777777" w:rsidR="00B6657F" w:rsidRP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 xml:space="preserve">The Gordon will seek consent for any young person’s enrolment and information relating to the young person’s specific needs and situation through the use of the </w:t>
      </w:r>
      <w:r w:rsidRPr="00B6657F">
        <w:rPr>
          <w:rFonts w:cs="Arial"/>
          <w:i/>
          <w:sz w:val="20"/>
          <w:szCs w:val="20"/>
        </w:rPr>
        <w:t>Parent Guardian Authority STS FO 12.01.</w:t>
      </w:r>
    </w:p>
    <w:p w14:paraId="0E41C197" w14:textId="77777777" w:rsidR="00B6657F" w:rsidRP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The intention of the Consent form is to identify the specific circumstances of the young person to allow reasonable adjustments to be made. It does not replace the need to ensure that students are registered, where applicable, with the Gordon’s Disability Support Service, or in the case of VDSS students, their home school’s support service.</w:t>
      </w:r>
    </w:p>
    <w:p w14:paraId="0BAC6BA4" w14:textId="77777777" w:rsidR="00B6657F" w:rsidRP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 xml:space="preserve">The Gordon’s student counselling service may authorise enrolment in a Gordon course without parental consent where the young person is determined to be a mature minor. This decision must be documented on the </w:t>
      </w:r>
      <w:r w:rsidRPr="00B6657F">
        <w:rPr>
          <w:rFonts w:cs="Arial"/>
          <w:i/>
          <w:sz w:val="20"/>
          <w:szCs w:val="20"/>
        </w:rPr>
        <w:t>Parent Guardian Authority STS FO 12.01</w:t>
      </w:r>
      <w:r w:rsidRPr="00B6657F">
        <w:rPr>
          <w:rFonts w:cs="Arial"/>
          <w:sz w:val="20"/>
          <w:szCs w:val="20"/>
        </w:rPr>
        <w:t xml:space="preserve"> by the student counsellor.</w:t>
      </w:r>
    </w:p>
    <w:p w14:paraId="70AA2560" w14:textId="2D57B517" w:rsid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The Gordon is committed to the Child Safe Standards and has established processes for mandatory reporting of reported or suspected child abuse.</w:t>
      </w:r>
    </w:p>
    <w:p w14:paraId="417840D1" w14:textId="77777777" w:rsidR="00B6657F" w:rsidRP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The Gordon learning environment is an adult environment that recognises and values mutual rights and responsibilities of staff and students.</w:t>
      </w:r>
    </w:p>
    <w:p w14:paraId="3D5B785A" w14:textId="77777777" w:rsidR="00B6657F" w:rsidRP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Any young person admitted to the Gordon must meet the prescribed entry requirements of the course consistent with admission, student selection and access and equity policies.</w:t>
      </w:r>
    </w:p>
    <w:p w14:paraId="36A869CA" w14:textId="4574C5B6" w:rsidR="00576D45" w:rsidRPr="00B6657F" w:rsidRDefault="00B6657F" w:rsidP="00B6657F">
      <w:pPr>
        <w:numPr>
          <w:ilvl w:val="0"/>
          <w:numId w:val="26"/>
        </w:numPr>
        <w:spacing w:before="0" w:after="0" w:line="276" w:lineRule="auto"/>
        <w:ind w:left="567" w:hanging="567"/>
        <w:contextualSpacing/>
        <w:jc w:val="both"/>
        <w:rPr>
          <w:color w:val="000000" w:themeColor="text1"/>
          <w:sz w:val="20"/>
          <w:szCs w:val="20"/>
        </w:rPr>
      </w:pPr>
      <w:r w:rsidRPr="00B6657F">
        <w:rPr>
          <w:rFonts w:cs="Arial"/>
          <w:sz w:val="20"/>
          <w:szCs w:val="20"/>
        </w:rPr>
        <w:t>A young person will only be admitted to a Gordon course which has been determined to be suitable and appropriate to their specific employment or learning outcomes through a documented pre-training review.</w:t>
      </w:r>
    </w:p>
    <w:p w14:paraId="4466A1EE" w14:textId="12AC378F" w:rsidR="0056554C" w:rsidRDefault="0056554C" w:rsidP="0056554C">
      <w:pPr>
        <w:tabs>
          <w:tab w:val="left" w:pos="3525"/>
        </w:tabs>
        <w:rPr>
          <w:szCs w:val="20"/>
        </w:rPr>
      </w:pPr>
      <w:r>
        <w:rPr>
          <w:szCs w:val="20"/>
        </w:rPr>
        <w:tab/>
      </w:r>
    </w:p>
    <w:p w14:paraId="50F38B60" w14:textId="2A36C83B" w:rsidR="000D2FE3" w:rsidRPr="0056554C" w:rsidRDefault="0056554C" w:rsidP="0056554C">
      <w:pPr>
        <w:tabs>
          <w:tab w:val="left" w:pos="3525"/>
        </w:tabs>
        <w:rPr>
          <w:szCs w:val="20"/>
        </w:rPr>
        <w:sectPr w:rsidR="000D2FE3" w:rsidRPr="0056554C" w:rsidSect="008C318A">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701" w:left="567" w:header="425" w:footer="556" w:gutter="0"/>
          <w:cols w:space="708"/>
          <w:docGrid w:linePitch="360"/>
        </w:sectPr>
      </w:pPr>
      <w:r>
        <w:rPr>
          <w:szCs w:val="20"/>
        </w:rPr>
        <w:tab/>
      </w:r>
    </w:p>
    <w:p w14:paraId="34CCD513" w14:textId="31170428" w:rsidR="00B6657F" w:rsidRDefault="00B6657F" w:rsidP="00B6657F">
      <w:pPr>
        <w:pStyle w:val="Heading3"/>
        <w:ind w:left="567"/>
        <w:rPr>
          <w:color w:val="000000" w:themeColor="text1"/>
        </w:rPr>
      </w:pPr>
    </w:p>
    <w:p w14:paraId="11A55CDB" w14:textId="77777777" w:rsidR="00B6657F" w:rsidRP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Parents/guardians of young person’s seeking enrolment shall be informed of:</w:t>
      </w:r>
    </w:p>
    <w:p w14:paraId="0FE8003F" w14:textId="77777777" w:rsidR="00B6657F" w:rsidRPr="00B6657F" w:rsidRDefault="00B6657F" w:rsidP="00B6657F">
      <w:pPr>
        <w:spacing w:line="276" w:lineRule="auto"/>
        <w:ind w:left="1134" w:hanging="567"/>
        <w:contextualSpacing/>
        <w:jc w:val="both"/>
        <w:rPr>
          <w:rFonts w:cs="Arial"/>
          <w:sz w:val="20"/>
          <w:szCs w:val="20"/>
        </w:rPr>
      </w:pPr>
      <w:r w:rsidRPr="00B6657F">
        <w:rPr>
          <w:rFonts w:cs="Arial"/>
          <w:sz w:val="20"/>
          <w:szCs w:val="20"/>
        </w:rPr>
        <w:t>-</w:t>
      </w:r>
      <w:r w:rsidRPr="00B6657F">
        <w:rPr>
          <w:rFonts w:cs="Arial"/>
          <w:sz w:val="20"/>
          <w:szCs w:val="20"/>
        </w:rPr>
        <w:tab/>
        <w:t>The shared duty of care for under-age students</w:t>
      </w:r>
    </w:p>
    <w:p w14:paraId="525E3DB0" w14:textId="77777777" w:rsidR="00B6657F" w:rsidRPr="00B6657F" w:rsidRDefault="00B6657F" w:rsidP="00B6657F">
      <w:pPr>
        <w:spacing w:line="276" w:lineRule="auto"/>
        <w:ind w:left="1134" w:hanging="567"/>
        <w:contextualSpacing/>
        <w:jc w:val="both"/>
        <w:rPr>
          <w:rFonts w:cs="Arial"/>
          <w:sz w:val="20"/>
          <w:szCs w:val="20"/>
        </w:rPr>
      </w:pPr>
      <w:r w:rsidRPr="00B6657F">
        <w:rPr>
          <w:rFonts w:cs="Arial"/>
          <w:sz w:val="20"/>
          <w:szCs w:val="20"/>
        </w:rPr>
        <w:t>-</w:t>
      </w:r>
      <w:r w:rsidRPr="00B6657F">
        <w:rPr>
          <w:rFonts w:cs="Arial"/>
          <w:sz w:val="20"/>
          <w:szCs w:val="20"/>
        </w:rPr>
        <w:tab/>
        <w:t>The National Youth Participation Requirement</w:t>
      </w:r>
    </w:p>
    <w:p w14:paraId="047169C0" w14:textId="77777777" w:rsidR="00B6657F" w:rsidRPr="00B6657F" w:rsidRDefault="00B6657F" w:rsidP="00B6657F">
      <w:pPr>
        <w:spacing w:line="276" w:lineRule="auto"/>
        <w:ind w:left="1134" w:hanging="567"/>
        <w:contextualSpacing/>
        <w:jc w:val="both"/>
        <w:rPr>
          <w:rFonts w:cs="Arial"/>
          <w:sz w:val="20"/>
          <w:szCs w:val="20"/>
        </w:rPr>
      </w:pPr>
      <w:r w:rsidRPr="00B6657F">
        <w:rPr>
          <w:rFonts w:cs="Arial"/>
          <w:sz w:val="20"/>
          <w:szCs w:val="20"/>
        </w:rPr>
        <w:t>-</w:t>
      </w:r>
      <w:r w:rsidRPr="00B6657F">
        <w:rPr>
          <w:rFonts w:cs="Arial"/>
          <w:sz w:val="20"/>
          <w:szCs w:val="20"/>
        </w:rPr>
        <w:tab/>
        <w:t>The attendance standards and timetable for the course</w:t>
      </w:r>
    </w:p>
    <w:p w14:paraId="0DF291F1" w14:textId="77777777" w:rsidR="00B6657F" w:rsidRPr="00B6657F" w:rsidRDefault="00B6657F" w:rsidP="00B6657F">
      <w:pPr>
        <w:spacing w:line="276" w:lineRule="auto"/>
        <w:ind w:left="1134" w:hanging="567"/>
        <w:contextualSpacing/>
        <w:jc w:val="both"/>
        <w:rPr>
          <w:rFonts w:cs="Arial"/>
          <w:sz w:val="20"/>
          <w:szCs w:val="20"/>
        </w:rPr>
      </w:pPr>
      <w:r w:rsidRPr="00B6657F">
        <w:rPr>
          <w:rFonts w:cs="Arial"/>
          <w:sz w:val="20"/>
          <w:szCs w:val="20"/>
        </w:rPr>
        <w:t>-</w:t>
      </w:r>
      <w:r w:rsidRPr="00B6657F">
        <w:rPr>
          <w:rFonts w:cs="Arial"/>
          <w:sz w:val="20"/>
          <w:szCs w:val="20"/>
        </w:rPr>
        <w:tab/>
        <w:t>The behavioural standards expected of a young person during their enrolment</w:t>
      </w:r>
    </w:p>
    <w:p w14:paraId="2DD57DF4" w14:textId="77777777" w:rsidR="00B6657F" w:rsidRPr="00B6657F" w:rsidRDefault="00B6657F" w:rsidP="00B6657F">
      <w:pPr>
        <w:spacing w:line="276" w:lineRule="auto"/>
        <w:ind w:left="1134" w:hanging="567"/>
        <w:contextualSpacing/>
        <w:jc w:val="both"/>
        <w:rPr>
          <w:rFonts w:cs="Arial"/>
          <w:sz w:val="20"/>
          <w:szCs w:val="20"/>
        </w:rPr>
      </w:pPr>
      <w:r w:rsidRPr="00B6657F">
        <w:rPr>
          <w:rFonts w:cs="Arial"/>
          <w:sz w:val="20"/>
          <w:szCs w:val="20"/>
        </w:rPr>
        <w:t>-</w:t>
      </w:r>
      <w:r w:rsidRPr="00B6657F">
        <w:rPr>
          <w:rFonts w:cs="Arial"/>
          <w:sz w:val="20"/>
          <w:szCs w:val="20"/>
        </w:rPr>
        <w:tab/>
        <w:t>The responsibility to engage in their child’s education through attendance at any meetings relating to behaviour, attendance or academic progress</w:t>
      </w:r>
    </w:p>
    <w:p w14:paraId="724DC457" w14:textId="77777777" w:rsidR="00B6657F" w:rsidRPr="00B6657F" w:rsidRDefault="00B6657F" w:rsidP="00B6657F">
      <w:pPr>
        <w:spacing w:line="276" w:lineRule="auto"/>
        <w:ind w:left="1134" w:hanging="567"/>
        <w:contextualSpacing/>
        <w:jc w:val="both"/>
        <w:rPr>
          <w:rFonts w:cs="Arial"/>
          <w:sz w:val="20"/>
          <w:szCs w:val="20"/>
        </w:rPr>
      </w:pPr>
      <w:r w:rsidRPr="00B6657F">
        <w:rPr>
          <w:rFonts w:cs="Arial"/>
          <w:sz w:val="20"/>
          <w:szCs w:val="20"/>
        </w:rPr>
        <w:t>-</w:t>
      </w:r>
      <w:r w:rsidRPr="00B6657F">
        <w:rPr>
          <w:rFonts w:cs="Arial"/>
          <w:sz w:val="20"/>
          <w:szCs w:val="20"/>
        </w:rPr>
        <w:tab/>
        <w:t>The need to provide parental consent for activities</w:t>
      </w:r>
    </w:p>
    <w:p w14:paraId="2C72417B" w14:textId="77777777" w:rsidR="00B6657F" w:rsidRPr="00B6657F" w:rsidRDefault="00B6657F" w:rsidP="00B6657F">
      <w:pPr>
        <w:spacing w:line="276" w:lineRule="auto"/>
        <w:ind w:left="1134" w:hanging="567"/>
        <w:contextualSpacing/>
        <w:jc w:val="both"/>
        <w:rPr>
          <w:rFonts w:cs="Arial"/>
          <w:sz w:val="20"/>
          <w:szCs w:val="20"/>
        </w:rPr>
      </w:pPr>
      <w:r w:rsidRPr="00B6657F">
        <w:rPr>
          <w:rFonts w:cs="Arial"/>
          <w:sz w:val="20"/>
          <w:szCs w:val="20"/>
        </w:rPr>
        <w:t>-</w:t>
      </w:r>
      <w:r w:rsidRPr="00B6657F">
        <w:rPr>
          <w:rFonts w:cs="Arial"/>
          <w:sz w:val="20"/>
          <w:szCs w:val="20"/>
        </w:rPr>
        <w:tab/>
        <w:t>The need to provide accurate records of their child’s medical or disability support needs</w:t>
      </w:r>
    </w:p>
    <w:p w14:paraId="3646D989" w14:textId="557BD000" w:rsidR="00B6657F" w:rsidRPr="00B6657F" w:rsidRDefault="00B6657F" w:rsidP="00B6657F">
      <w:pPr>
        <w:spacing w:line="276" w:lineRule="auto"/>
        <w:ind w:left="567" w:hanging="567"/>
        <w:contextualSpacing/>
        <w:jc w:val="both"/>
        <w:rPr>
          <w:rFonts w:cs="Arial"/>
          <w:i/>
          <w:sz w:val="20"/>
          <w:szCs w:val="20"/>
        </w:rPr>
      </w:pPr>
      <w:r>
        <w:rPr>
          <w:rFonts w:cs="Arial"/>
          <w:sz w:val="20"/>
          <w:szCs w:val="20"/>
        </w:rPr>
        <w:tab/>
      </w:r>
      <w:r w:rsidRPr="00B6657F">
        <w:rPr>
          <w:rFonts w:cs="Arial"/>
          <w:sz w:val="20"/>
          <w:szCs w:val="20"/>
        </w:rPr>
        <w:t xml:space="preserve">Refer </w:t>
      </w:r>
      <w:r w:rsidRPr="00B6657F">
        <w:rPr>
          <w:rFonts w:cs="Arial"/>
          <w:i/>
          <w:sz w:val="20"/>
          <w:szCs w:val="20"/>
        </w:rPr>
        <w:t>Parent Guardian Authority STS FO 12.01</w:t>
      </w:r>
    </w:p>
    <w:p w14:paraId="57142C0B" w14:textId="77777777" w:rsidR="00B6657F" w:rsidRPr="00B6657F" w:rsidRDefault="00B6657F" w:rsidP="00B6657F">
      <w:pPr>
        <w:numPr>
          <w:ilvl w:val="0"/>
          <w:numId w:val="26"/>
        </w:numPr>
        <w:spacing w:before="0" w:after="0" w:line="276" w:lineRule="auto"/>
        <w:ind w:left="567" w:hanging="567"/>
        <w:contextualSpacing/>
        <w:jc w:val="both"/>
        <w:rPr>
          <w:rFonts w:cs="Arial"/>
          <w:sz w:val="20"/>
          <w:szCs w:val="20"/>
        </w:rPr>
      </w:pPr>
      <w:r w:rsidRPr="00B6657F">
        <w:rPr>
          <w:rFonts w:cs="Arial"/>
          <w:sz w:val="20"/>
          <w:szCs w:val="20"/>
        </w:rPr>
        <w:t>Following documented acceptance of a young person, all usual Gordon admission and enrolment processes apply to the student.</w:t>
      </w:r>
    </w:p>
    <w:p w14:paraId="3BEA8294" w14:textId="77777777" w:rsidR="00B6657F" w:rsidRDefault="00B6657F" w:rsidP="00B6657F">
      <w:pPr>
        <w:numPr>
          <w:ilvl w:val="0"/>
          <w:numId w:val="26"/>
        </w:numPr>
        <w:spacing w:before="0" w:after="0" w:line="276" w:lineRule="auto"/>
        <w:ind w:left="567" w:hanging="567"/>
        <w:contextualSpacing/>
        <w:jc w:val="both"/>
        <w:rPr>
          <w:rFonts w:cs="Arial"/>
          <w:szCs w:val="20"/>
        </w:rPr>
      </w:pPr>
      <w:r w:rsidRPr="00B6657F">
        <w:rPr>
          <w:rFonts w:cs="Arial"/>
          <w:sz w:val="20"/>
          <w:szCs w:val="20"/>
        </w:rPr>
        <w:t>All enrolment records of compulsory school age students, including Department of Education transition forms, parental consents and medical records shall be retained as secure documents on the stude</w:t>
      </w:r>
      <w:r w:rsidRPr="00210708">
        <w:rPr>
          <w:rFonts w:cs="Arial"/>
          <w:szCs w:val="20"/>
        </w:rPr>
        <w:t>nt’s file, in The Gordon’s student management system.</w:t>
      </w:r>
    </w:p>
    <w:p w14:paraId="2EA046C7" w14:textId="77777777" w:rsidR="00B6657F" w:rsidRDefault="00B6657F" w:rsidP="00B6657F">
      <w:pPr>
        <w:spacing w:line="276" w:lineRule="auto"/>
        <w:ind w:left="1080"/>
        <w:contextualSpacing/>
        <w:rPr>
          <w:rFonts w:cs="Arial"/>
          <w:szCs w:val="20"/>
        </w:rPr>
      </w:pPr>
    </w:p>
    <w:p w14:paraId="2DD36DEB" w14:textId="74870691" w:rsidR="00B6657F" w:rsidRPr="00B6657F" w:rsidRDefault="00B6657F" w:rsidP="00B6657F">
      <w:pPr>
        <w:spacing w:line="276" w:lineRule="auto"/>
        <w:ind w:left="1134" w:hanging="567"/>
        <w:contextualSpacing/>
        <w:jc w:val="both"/>
        <w:rPr>
          <w:rFonts w:cs="Arial"/>
          <w:sz w:val="20"/>
          <w:szCs w:val="20"/>
        </w:rPr>
      </w:pPr>
      <w:r>
        <w:rPr>
          <w:rFonts w:cs="Arial"/>
          <w:b/>
          <w:sz w:val="20"/>
          <w:szCs w:val="20"/>
        </w:rPr>
        <w:t>3</w:t>
      </w:r>
      <w:r w:rsidRPr="00B6657F">
        <w:rPr>
          <w:rFonts w:cs="Arial"/>
          <w:b/>
          <w:sz w:val="20"/>
          <w:szCs w:val="20"/>
        </w:rPr>
        <w:t xml:space="preserve">.1 </w:t>
      </w:r>
      <w:r w:rsidRPr="00B6657F">
        <w:rPr>
          <w:rFonts w:cs="Arial"/>
          <w:b/>
          <w:sz w:val="20"/>
          <w:szCs w:val="20"/>
        </w:rPr>
        <w:tab/>
        <w:t>Student Loans and Payment Plans</w:t>
      </w:r>
    </w:p>
    <w:p w14:paraId="005A5006" w14:textId="77777777" w:rsidR="00B6657F" w:rsidRPr="00B6657F" w:rsidRDefault="00B6657F" w:rsidP="00B6657F">
      <w:pPr>
        <w:spacing w:line="276" w:lineRule="auto"/>
        <w:ind w:left="1134"/>
        <w:contextualSpacing/>
        <w:jc w:val="both"/>
        <w:rPr>
          <w:rFonts w:cs="Arial"/>
          <w:sz w:val="20"/>
          <w:szCs w:val="20"/>
        </w:rPr>
      </w:pPr>
      <w:r w:rsidRPr="00B6657F">
        <w:rPr>
          <w:rFonts w:cs="Arial"/>
          <w:sz w:val="20"/>
          <w:szCs w:val="20"/>
        </w:rPr>
        <w:t>Parental/guardian consent must be received on the appropriate paperwork for any youth enrolment which involves a Payment Plan or a VET Student Loan prior to the initiation of the loan / payment plan.</w:t>
      </w:r>
    </w:p>
    <w:p w14:paraId="23BC9653" w14:textId="77777777" w:rsidR="00B6657F" w:rsidRPr="00B6657F" w:rsidRDefault="00B6657F" w:rsidP="00B6657F">
      <w:pPr>
        <w:spacing w:line="276" w:lineRule="auto"/>
        <w:ind w:left="1080"/>
        <w:contextualSpacing/>
        <w:jc w:val="both"/>
        <w:rPr>
          <w:rFonts w:cs="Arial"/>
          <w:sz w:val="20"/>
          <w:szCs w:val="20"/>
        </w:rPr>
      </w:pPr>
    </w:p>
    <w:p w14:paraId="14DFC513" w14:textId="22921760" w:rsidR="00B6657F" w:rsidRPr="00B6657F" w:rsidRDefault="00B6657F" w:rsidP="00B6657F">
      <w:pPr>
        <w:pStyle w:val="ListParagraph"/>
        <w:numPr>
          <w:ilvl w:val="1"/>
          <w:numId w:val="28"/>
        </w:numPr>
        <w:spacing w:before="0" w:after="0" w:line="276" w:lineRule="auto"/>
        <w:ind w:left="1134" w:hanging="567"/>
        <w:jc w:val="both"/>
        <w:rPr>
          <w:rFonts w:cs="Arial"/>
          <w:b/>
          <w:sz w:val="20"/>
          <w:szCs w:val="20"/>
        </w:rPr>
      </w:pPr>
      <w:r w:rsidRPr="00B6657F">
        <w:rPr>
          <w:rFonts w:cs="Arial"/>
          <w:b/>
          <w:sz w:val="20"/>
          <w:szCs w:val="20"/>
        </w:rPr>
        <w:t>Young Persons of Compulsory School Age</w:t>
      </w:r>
    </w:p>
    <w:p w14:paraId="521EDEBC" w14:textId="77777777" w:rsidR="00B6657F" w:rsidRPr="00B6657F" w:rsidRDefault="00B6657F" w:rsidP="00B6657F">
      <w:pPr>
        <w:numPr>
          <w:ilvl w:val="0"/>
          <w:numId w:val="26"/>
        </w:numPr>
        <w:spacing w:before="0" w:after="0" w:line="276" w:lineRule="auto"/>
        <w:ind w:left="1701" w:hanging="567"/>
        <w:contextualSpacing/>
        <w:jc w:val="both"/>
        <w:rPr>
          <w:rFonts w:cs="Arial"/>
          <w:sz w:val="20"/>
          <w:szCs w:val="20"/>
        </w:rPr>
      </w:pPr>
      <w:r w:rsidRPr="00B6657F">
        <w:rPr>
          <w:rFonts w:cs="Arial"/>
          <w:sz w:val="20"/>
          <w:szCs w:val="20"/>
        </w:rPr>
        <w:t>The Gordon recognises that the intention of compulsory school age is to enable every young person going through the education system to find a pathway which suits their interests, aims and abilities, and allows them to gain skills to help them in their future.</w:t>
      </w:r>
    </w:p>
    <w:p w14:paraId="0553C6AA" w14:textId="77777777" w:rsidR="00B6657F" w:rsidRPr="00B6657F" w:rsidRDefault="00B6657F" w:rsidP="00B6657F">
      <w:pPr>
        <w:numPr>
          <w:ilvl w:val="0"/>
          <w:numId w:val="26"/>
        </w:numPr>
        <w:spacing w:before="0" w:after="0" w:line="276" w:lineRule="auto"/>
        <w:ind w:left="1701" w:hanging="567"/>
        <w:contextualSpacing/>
        <w:jc w:val="both"/>
        <w:rPr>
          <w:rFonts w:cs="Arial"/>
          <w:sz w:val="20"/>
          <w:szCs w:val="20"/>
        </w:rPr>
      </w:pPr>
      <w:r w:rsidRPr="00B6657F">
        <w:rPr>
          <w:rFonts w:cs="Arial"/>
          <w:sz w:val="20"/>
          <w:szCs w:val="20"/>
        </w:rPr>
        <w:t xml:space="preserve">The Gordon is not obliged to admit youths under 15 years of age or of compulsory school age (15-17 years) who have not completed Year 10. </w:t>
      </w:r>
    </w:p>
    <w:p w14:paraId="79F91E9A" w14:textId="78BF657E" w:rsidR="00B6657F" w:rsidRPr="00B6657F" w:rsidRDefault="00B6657F" w:rsidP="00B6657F">
      <w:pPr>
        <w:numPr>
          <w:ilvl w:val="0"/>
          <w:numId w:val="26"/>
        </w:numPr>
        <w:spacing w:before="0" w:after="0" w:line="276" w:lineRule="auto"/>
        <w:ind w:left="1701" w:hanging="567"/>
        <w:contextualSpacing/>
        <w:jc w:val="both"/>
        <w:rPr>
          <w:rFonts w:cs="Arial"/>
          <w:sz w:val="20"/>
          <w:szCs w:val="20"/>
        </w:rPr>
      </w:pPr>
      <w:r w:rsidRPr="00B6657F">
        <w:rPr>
          <w:rFonts w:cs="Arial"/>
          <w:sz w:val="20"/>
          <w:szCs w:val="20"/>
        </w:rPr>
        <w:t>Youths who are 15 and have not completed year 10 will only be accepted at the discretion of the Program Lead into a course which provides a full-time learning pathway through until 17 years of age. Courses which may comply with this principle include:</w:t>
      </w:r>
    </w:p>
    <w:p w14:paraId="6517F8A6" w14:textId="77777777" w:rsidR="00B6657F" w:rsidRPr="00B6657F" w:rsidRDefault="00B6657F" w:rsidP="00B6657F">
      <w:pPr>
        <w:numPr>
          <w:ilvl w:val="0"/>
          <w:numId w:val="27"/>
        </w:numPr>
        <w:spacing w:before="0" w:after="0" w:line="276" w:lineRule="auto"/>
        <w:ind w:left="2268" w:hanging="567"/>
        <w:contextualSpacing/>
        <w:jc w:val="both"/>
        <w:rPr>
          <w:rFonts w:cs="Arial"/>
          <w:sz w:val="20"/>
          <w:szCs w:val="20"/>
        </w:rPr>
      </w:pPr>
      <w:r w:rsidRPr="00B6657F">
        <w:rPr>
          <w:rFonts w:cs="Arial"/>
          <w:sz w:val="20"/>
          <w:szCs w:val="20"/>
        </w:rPr>
        <w:t>VCE/VCAL/GTEC</w:t>
      </w:r>
    </w:p>
    <w:p w14:paraId="63AAD823" w14:textId="77777777" w:rsidR="00B6657F" w:rsidRPr="00B6657F" w:rsidRDefault="00B6657F" w:rsidP="00B6657F">
      <w:pPr>
        <w:numPr>
          <w:ilvl w:val="0"/>
          <w:numId w:val="27"/>
        </w:numPr>
        <w:spacing w:before="0" w:after="0" w:line="276" w:lineRule="auto"/>
        <w:ind w:left="2268" w:hanging="567"/>
        <w:contextualSpacing/>
        <w:jc w:val="both"/>
        <w:rPr>
          <w:rFonts w:cs="Arial"/>
          <w:sz w:val="20"/>
          <w:szCs w:val="20"/>
        </w:rPr>
      </w:pPr>
      <w:r w:rsidRPr="00B6657F">
        <w:rPr>
          <w:rFonts w:cs="Arial"/>
          <w:sz w:val="20"/>
          <w:szCs w:val="20"/>
        </w:rPr>
        <w:t>General Education/Work Education</w:t>
      </w:r>
    </w:p>
    <w:p w14:paraId="2C329CC5" w14:textId="77777777" w:rsidR="00B6657F" w:rsidRPr="00B6657F" w:rsidRDefault="00B6657F" w:rsidP="00B6657F">
      <w:pPr>
        <w:numPr>
          <w:ilvl w:val="0"/>
          <w:numId w:val="27"/>
        </w:numPr>
        <w:spacing w:before="0" w:after="0" w:line="276" w:lineRule="auto"/>
        <w:ind w:left="2268" w:hanging="567"/>
        <w:contextualSpacing/>
        <w:jc w:val="both"/>
        <w:rPr>
          <w:rFonts w:cs="Arial"/>
          <w:sz w:val="20"/>
          <w:szCs w:val="20"/>
        </w:rPr>
      </w:pPr>
      <w:r w:rsidRPr="00B6657F">
        <w:rPr>
          <w:rFonts w:cs="Arial"/>
          <w:sz w:val="20"/>
          <w:szCs w:val="20"/>
        </w:rPr>
        <w:t>Youth Access</w:t>
      </w:r>
    </w:p>
    <w:p w14:paraId="2CB4F42E" w14:textId="77777777" w:rsidR="00B6657F" w:rsidRPr="00B6657F" w:rsidRDefault="00B6657F" w:rsidP="00B6657F">
      <w:pPr>
        <w:numPr>
          <w:ilvl w:val="0"/>
          <w:numId w:val="26"/>
        </w:numPr>
        <w:spacing w:before="0" w:after="0" w:line="276" w:lineRule="auto"/>
        <w:ind w:left="1701" w:hanging="567"/>
        <w:contextualSpacing/>
        <w:jc w:val="both"/>
        <w:rPr>
          <w:rFonts w:cs="Arial"/>
          <w:sz w:val="20"/>
          <w:szCs w:val="20"/>
        </w:rPr>
      </w:pPr>
      <w:r w:rsidRPr="00B6657F">
        <w:rPr>
          <w:rFonts w:cs="Arial"/>
          <w:sz w:val="20"/>
          <w:szCs w:val="20"/>
        </w:rPr>
        <w:t xml:space="preserve">Youths under 17 years of age will only be admitted where the Gordon has received written confirmation from the relevant authority via a </w:t>
      </w:r>
      <w:r w:rsidRPr="00B6657F">
        <w:rPr>
          <w:rFonts w:cs="Arial"/>
          <w:i/>
          <w:sz w:val="20"/>
          <w:szCs w:val="20"/>
        </w:rPr>
        <w:t>Transition from Education</w:t>
      </w:r>
      <w:r w:rsidRPr="00B6657F">
        <w:rPr>
          <w:rFonts w:cs="Arial"/>
          <w:sz w:val="20"/>
          <w:szCs w:val="20"/>
        </w:rPr>
        <w:t xml:space="preserve"> form or equivalent letter that this has been signed.</w:t>
      </w:r>
    </w:p>
    <w:p w14:paraId="35084E8C" w14:textId="77777777" w:rsidR="00B6657F" w:rsidRPr="00B6657F" w:rsidRDefault="00B6657F" w:rsidP="00B6657F">
      <w:pPr>
        <w:pStyle w:val="ListParagraph"/>
        <w:numPr>
          <w:ilvl w:val="0"/>
          <w:numId w:val="27"/>
        </w:numPr>
        <w:spacing w:before="0" w:after="0" w:line="276" w:lineRule="auto"/>
        <w:ind w:left="2268" w:hanging="567"/>
        <w:jc w:val="both"/>
        <w:rPr>
          <w:rFonts w:cs="Arial"/>
          <w:sz w:val="20"/>
          <w:szCs w:val="20"/>
        </w:rPr>
      </w:pPr>
      <w:r w:rsidRPr="00B6657F">
        <w:rPr>
          <w:rFonts w:cs="Arial"/>
          <w:sz w:val="20"/>
          <w:szCs w:val="20"/>
        </w:rPr>
        <w:t>Student 15 or under and has not completed Year 10, must be authorised by the Regional Manager</w:t>
      </w:r>
    </w:p>
    <w:p w14:paraId="1ABA0F6D" w14:textId="77777777" w:rsidR="00B6657F" w:rsidRPr="00B6657F" w:rsidRDefault="00B6657F" w:rsidP="00B6657F">
      <w:pPr>
        <w:pStyle w:val="ListParagraph"/>
        <w:numPr>
          <w:ilvl w:val="0"/>
          <w:numId w:val="27"/>
        </w:numPr>
        <w:spacing w:before="0" w:after="0" w:line="276" w:lineRule="auto"/>
        <w:ind w:left="2268" w:hanging="567"/>
        <w:jc w:val="both"/>
        <w:rPr>
          <w:rFonts w:cs="Arial"/>
          <w:sz w:val="20"/>
          <w:szCs w:val="20"/>
        </w:rPr>
      </w:pPr>
      <w:r w:rsidRPr="00B6657F">
        <w:rPr>
          <w:rFonts w:cs="Arial"/>
          <w:sz w:val="20"/>
          <w:szCs w:val="20"/>
        </w:rPr>
        <w:t>Student under 17 and has completed Year 10, must be authorised by their School Principal</w:t>
      </w:r>
    </w:p>
    <w:p w14:paraId="6EEE95C5" w14:textId="3957CF7B" w:rsidR="00B6657F" w:rsidRPr="00B6657F" w:rsidRDefault="00B6657F" w:rsidP="00B6657F">
      <w:pPr>
        <w:numPr>
          <w:ilvl w:val="0"/>
          <w:numId w:val="26"/>
        </w:numPr>
        <w:spacing w:before="0" w:after="0" w:line="276" w:lineRule="auto"/>
        <w:ind w:left="1701" w:hanging="567"/>
        <w:contextualSpacing/>
        <w:jc w:val="both"/>
        <w:rPr>
          <w:rFonts w:cs="Arial"/>
          <w:sz w:val="20"/>
          <w:szCs w:val="20"/>
        </w:rPr>
      </w:pPr>
      <w:r w:rsidRPr="00B6657F">
        <w:rPr>
          <w:rFonts w:cs="Arial"/>
          <w:sz w:val="20"/>
          <w:szCs w:val="20"/>
        </w:rPr>
        <w:t>Young persons of 15 to 17 who have completed Year 10 may be accepted at the discretion of the Program Lead into a full-time course which provides a learning or employment pathway, or combination thereof, through until 17 years of age.</w:t>
      </w:r>
    </w:p>
    <w:p w14:paraId="51F4AA37" w14:textId="5BA08D41" w:rsidR="00B6657F" w:rsidRPr="00B6657F" w:rsidRDefault="00B6657F" w:rsidP="00B6657F">
      <w:pPr>
        <w:numPr>
          <w:ilvl w:val="0"/>
          <w:numId w:val="26"/>
        </w:numPr>
        <w:spacing w:before="0" w:after="0" w:line="276" w:lineRule="auto"/>
        <w:ind w:left="1701" w:hanging="567"/>
        <w:contextualSpacing/>
        <w:jc w:val="both"/>
        <w:rPr>
          <w:rFonts w:cs="Arial"/>
          <w:sz w:val="20"/>
          <w:szCs w:val="20"/>
        </w:rPr>
      </w:pPr>
      <w:r w:rsidRPr="00B6657F">
        <w:rPr>
          <w:rFonts w:cs="Arial"/>
          <w:sz w:val="20"/>
          <w:szCs w:val="20"/>
        </w:rPr>
        <w:t xml:space="preserve">Young persons of 15 to 17 will be accepted into registered training schemes (apprenticeships and traineeships) upon receipt of a Epsilon notification and upon completion of a pre-training review which establishes that the learning and employment pathway is both appropriate and suitable to their desired outcomes. </w:t>
      </w:r>
    </w:p>
    <w:p w14:paraId="3232DF5E" w14:textId="77777777" w:rsidR="00B6657F" w:rsidRPr="00B6657F" w:rsidRDefault="00B6657F" w:rsidP="00B6657F">
      <w:pPr>
        <w:numPr>
          <w:ilvl w:val="0"/>
          <w:numId w:val="26"/>
        </w:numPr>
        <w:spacing w:before="0" w:after="0" w:line="276" w:lineRule="auto"/>
        <w:ind w:left="1701" w:hanging="567"/>
        <w:contextualSpacing/>
        <w:jc w:val="both"/>
        <w:rPr>
          <w:sz w:val="20"/>
          <w:szCs w:val="20"/>
        </w:rPr>
      </w:pPr>
      <w:r w:rsidRPr="00B6657F">
        <w:rPr>
          <w:rFonts w:cs="Arial"/>
          <w:sz w:val="20"/>
          <w:szCs w:val="20"/>
        </w:rPr>
        <w:t>Youths of compulsory school age will only be enrolled as a part-time admission where the combined Program and work obligations equate to a full-time load. The grounds for admission of youths in this category shall be based on provision of their appropriate educational pathway.</w:t>
      </w:r>
    </w:p>
    <w:p w14:paraId="64AFD564" w14:textId="77777777" w:rsidR="00B6657F" w:rsidRPr="00B6657F" w:rsidRDefault="00B6657F" w:rsidP="00B6657F">
      <w:pPr>
        <w:pStyle w:val="ListParagraph"/>
        <w:numPr>
          <w:ilvl w:val="0"/>
          <w:numId w:val="26"/>
        </w:numPr>
        <w:spacing w:before="0" w:after="0" w:line="276" w:lineRule="auto"/>
        <w:ind w:left="1701" w:hanging="567"/>
        <w:jc w:val="both"/>
        <w:rPr>
          <w:sz w:val="20"/>
          <w:szCs w:val="20"/>
        </w:rPr>
      </w:pPr>
      <w:r w:rsidRPr="00B6657F">
        <w:rPr>
          <w:sz w:val="20"/>
          <w:szCs w:val="20"/>
        </w:rPr>
        <w:t xml:space="preserve">Where a student under 17 years of age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Victorian school that they are no longer attending training. </w:t>
      </w:r>
    </w:p>
    <w:p w14:paraId="1D8673EB" w14:textId="0B221002" w:rsidR="00B6657F" w:rsidRPr="009A639D" w:rsidRDefault="00B6657F" w:rsidP="00B6657F">
      <w:pPr>
        <w:pStyle w:val="Heading3"/>
        <w:numPr>
          <w:ilvl w:val="0"/>
          <w:numId w:val="15"/>
        </w:numPr>
        <w:ind w:left="567" w:hanging="567"/>
        <w:rPr>
          <w:color w:val="000000" w:themeColor="text1"/>
        </w:rPr>
      </w:pPr>
      <w:r w:rsidRPr="009A639D">
        <w:rPr>
          <w:color w:val="000000" w:themeColor="text1"/>
        </w:rPr>
        <w:lastRenderedPageBreak/>
        <w:t>Procedure</w:t>
      </w:r>
    </w:p>
    <w:p w14:paraId="4A19CB66" w14:textId="1CC01841" w:rsidR="00B6657F" w:rsidRDefault="00B6657F" w:rsidP="00B6657F">
      <w:pPr>
        <w:rPr>
          <w:rFonts w:cs="Arial"/>
          <w:color w:val="000000"/>
          <w:sz w:val="20"/>
          <w:szCs w:val="20"/>
          <w:shd w:val="clear" w:color="auto" w:fill="FFFFFF"/>
        </w:rPr>
      </w:pPr>
      <w:r>
        <w:rPr>
          <w:rFonts w:cs="Arial"/>
          <w:color w:val="000000"/>
          <w:sz w:val="20"/>
          <w:szCs w:val="20"/>
          <w:shd w:val="clear" w:color="auto" w:fill="FFFFFF"/>
        </w:rPr>
        <w:t>There is no Procedure pursuant to this Policy.</w:t>
      </w:r>
      <w:bookmarkStart w:id="0" w:name="_GoBack"/>
      <w:bookmarkEnd w:id="0"/>
    </w:p>
    <w:p w14:paraId="4D6457BB" w14:textId="77777777" w:rsidR="00B6657F" w:rsidRPr="00B6657F" w:rsidRDefault="00B6657F" w:rsidP="00B6657F"/>
    <w:p w14:paraId="7642E1B6" w14:textId="019DDD60" w:rsidR="00576D45" w:rsidRPr="009A639D" w:rsidRDefault="00671B4C" w:rsidP="008145E9">
      <w:pPr>
        <w:pStyle w:val="Heading3"/>
        <w:numPr>
          <w:ilvl w:val="0"/>
          <w:numId w:val="15"/>
        </w:numPr>
        <w:ind w:left="567" w:hanging="567"/>
        <w:rPr>
          <w:color w:val="000000" w:themeColor="text1"/>
        </w:rPr>
      </w:pPr>
      <w:r w:rsidRPr="009A639D">
        <w:rPr>
          <w:color w:val="000000" w:themeColor="text1"/>
        </w:rPr>
        <w:t>R</w:t>
      </w:r>
      <w:r w:rsidR="00576D45" w:rsidRPr="009A639D">
        <w:rPr>
          <w:color w:val="000000" w:themeColor="text1"/>
        </w:rPr>
        <w:t>esponsibilities</w:t>
      </w:r>
    </w:p>
    <w:tbl>
      <w:tblPr>
        <w:tblW w:w="10773" w:type="dxa"/>
        <w:tblInd w:w="-5" w:type="dxa"/>
        <w:tblBorders>
          <w:top w:val="single" w:sz="4" w:space="0" w:color="999999"/>
          <w:left w:val="single" w:sz="4" w:space="0" w:color="999999"/>
          <w:bottom w:val="single" w:sz="4" w:space="0" w:color="999999"/>
          <w:right w:val="single" w:sz="4" w:space="0" w:color="999999"/>
        </w:tblBorders>
        <w:tblLayout w:type="fixed"/>
        <w:tblLook w:val="04A0" w:firstRow="1" w:lastRow="0" w:firstColumn="1" w:lastColumn="0" w:noHBand="0" w:noVBand="1"/>
      </w:tblPr>
      <w:tblGrid>
        <w:gridCol w:w="2552"/>
        <w:gridCol w:w="8221"/>
      </w:tblGrid>
      <w:tr w:rsidR="00D918DE" w:rsidRPr="009A639D" w14:paraId="21AA163C" w14:textId="77777777" w:rsidTr="008C318A">
        <w:tc>
          <w:tcPr>
            <w:tcW w:w="2552" w:type="dxa"/>
            <w:tcBorders>
              <w:top w:val="single" w:sz="4" w:space="0" w:color="999999"/>
              <w:left w:val="single" w:sz="4" w:space="0" w:color="999999"/>
              <w:bottom w:val="single" w:sz="4" w:space="0" w:color="999999"/>
              <w:right w:val="single" w:sz="4" w:space="0" w:color="999999"/>
            </w:tcBorders>
            <w:shd w:val="clear" w:color="auto" w:fill="FFFFFF"/>
          </w:tcPr>
          <w:p w14:paraId="7ED9E92B" w14:textId="77777777" w:rsidR="00D918DE" w:rsidRPr="009A639D" w:rsidRDefault="00D918DE" w:rsidP="00CE1630">
            <w:pPr>
              <w:spacing w:before="40" w:after="40"/>
              <w:jc w:val="both"/>
              <w:rPr>
                <w:rFonts w:eastAsia="Times New Roman" w:cs="Times New Roman"/>
                <w:b/>
                <w:bCs/>
                <w:color w:val="FFFFFF"/>
                <w:sz w:val="20"/>
                <w:szCs w:val="20"/>
              </w:rPr>
            </w:pPr>
            <w:r w:rsidRPr="009A639D">
              <w:rPr>
                <w:rFonts w:eastAsia="Times New Roman" w:cs="Times New Roman"/>
                <w:b/>
                <w:color w:val="000000"/>
                <w:sz w:val="20"/>
                <w:szCs w:val="20"/>
              </w:rPr>
              <w:t>Position</w:t>
            </w:r>
          </w:p>
        </w:tc>
        <w:tc>
          <w:tcPr>
            <w:tcW w:w="8221" w:type="dxa"/>
            <w:tcBorders>
              <w:top w:val="single" w:sz="4" w:space="0" w:color="999999"/>
              <w:left w:val="single" w:sz="4" w:space="0" w:color="999999"/>
              <w:bottom w:val="single" w:sz="4" w:space="0" w:color="999999"/>
              <w:right w:val="single" w:sz="4" w:space="0" w:color="999999"/>
            </w:tcBorders>
            <w:shd w:val="clear" w:color="auto" w:fill="FFFFFF"/>
            <w:hideMark/>
          </w:tcPr>
          <w:p w14:paraId="08D2FFC0" w14:textId="77777777" w:rsidR="00D918DE" w:rsidRPr="009A639D" w:rsidRDefault="00671B4C" w:rsidP="00CE1630">
            <w:pPr>
              <w:spacing w:before="40" w:after="40"/>
              <w:jc w:val="both"/>
              <w:rPr>
                <w:rFonts w:eastAsia="Times New Roman" w:cs="Times New Roman"/>
                <w:b/>
                <w:color w:val="000000"/>
                <w:sz w:val="20"/>
                <w:szCs w:val="20"/>
              </w:rPr>
            </w:pPr>
            <w:r w:rsidRPr="009A639D">
              <w:rPr>
                <w:rFonts w:eastAsia="Times New Roman" w:cs="Times New Roman"/>
                <w:b/>
                <w:color w:val="000000"/>
                <w:sz w:val="20"/>
                <w:szCs w:val="20"/>
              </w:rPr>
              <w:t>Responsibility / Governance</w:t>
            </w:r>
          </w:p>
        </w:tc>
      </w:tr>
      <w:tr w:rsidR="00B6657F" w:rsidRPr="009A639D" w14:paraId="58820883"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2" w:type="dxa"/>
            <w:vAlign w:val="center"/>
          </w:tcPr>
          <w:p w14:paraId="1523B917" w14:textId="7844FFB7" w:rsidR="00B6657F" w:rsidRPr="00B6657F" w:rsidRDefault="00B6657F" w:rsidP="00B6657F">
            <w:pPr>
              <w:tabs>
                <w:tab w:val="left" w:pos="1418"/>
                <w:tab w:val="left" w:pos="6237"/>
              </w:tabs>
              <w:spacing w:before="100" w:after="100"/>
              <w:rPr>
                <w:rFonts w:eastAsia="Calibri" w:cs="Arial"/>
                <w:bCs/>
                <w:color w:val="6384BD"/>
                <w:sz w:val="20"/>
                <w:szCs w:val="20"/>
              </w:rPr>
            </w:pPr>
            <w:r w:rsidRPr="00B6657F">
              <w:rPr>
                <w:rFonts w:cs="Arial"/>
                <w:color w:val="4F81BD" w:themeColor="accent1"/>
                <w:sz w:val="20"/>
                <w:szCs w:val="20"/>
              </w:rPr>
              <w:t>Chief Executive Officer</w:t>
            </w:r>
          </w:p>
        </w:tc>
        <w:tc>
          <w:tcPr>
            <w:tcW w:w="8221" w:type="dxa"/>
          </w:tcPr>
          <w:p w14:paraId="1680712A" w14:textId="0A1301E6" w:rsidR="00B6657F" w:rsidRPr="00B6657F" w:rsidRDefault="00B6657F" w:rsidP="00B6657F">
            <w:pPr>
              <w:tabs>
                <w:tab w:val="left" w:pos="1418"/>
                <w:tab w:val="left" w:pos="6237"/>
              </w:tabs>
              <w:spacing w:before="100" w:after="100"/>
              <w:jc w:val="both"/>
              <w:rPr>
                <w:rFonts w:eastAsia="Calibri" w:cs="Times New Roman"/>
                <w:sz w:val="20"/>
                <w:szCs w:val="20"/>
              </w:rPr>
            </w:pPr>
            <w:r w:rsidRPr="00B6657F">
              <w:rPr>
                <w:rFonts w:cs="Arial"/>
                <w:sz w:val="20"/>
                <w:szCs w:val="20"/>
              </w:rPr>
              <w:t>For ensuring that this policy complies with The Gordon’s obligations under the</w:t>
            </w:r>
            <w:r w:rsidRPr="00B6657F">
              <w:rPr>
                <w:rFonts w:cs="Arial"/>
                <w:i/>
                <w:sz w:val="20"/>
                <w:szCs w:val="20"/>
              </w:rPr>
              <w:t xml:space="preserve"> Education and Training Reform Act</w:t>
            </w:r>
            <w:r w:rsidRPr="00B6657F">
              <w:rPr>
                <w:rFonts w:cs="Arial"/>
                <w:sz w:val="20"/>
                <w:szCs w:val="20"/>
              </w:rPr>
              <w:t xml:space="preserve"> (Vic) in respect to accepting underage youths and its obligations under duty of care principles once those youths are enrolled.</w:t>
            </w:r>
          </w:p>
        </w:tc>
      </w:tr>
      <w:tr w:rsidR="00B6657F" w:rsidRPr="009A639D" w14:paraId="1804DD8E"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2" w:type="dxa"/>
            <w:vAlign w:val="center"/>
          </w:tcPr>
          <w:p w14:paraId="0F8D6288" w14:textId="00997C29" w:rsidR="00B6657F" w:rsidRPr="00B6657F" w:rsidRDefault="00B6657F" w:rsidP="00B6657F">
            <w:pPr>
              <w:tabs>
                <w:tab w:val="left" w:pos="1418"/>
                <w:tab w:val="left" w:pos="6237"/>
              </w:tabs>
              <w:spacing w:before="100" w:after="100"/>
              <w:rPr>
                <w:rFonts w:eastAsia="Calibri" w:cs="Arial"/>
                <w:bCs/>
                <w:color w:val="6384BD"/>
                <w:sz w:val="20"/>
                <w:szCs w:val="20"/>
              </w:rPr>
            </w:pPr>
            <w:r w:rsidRPr="00B6657F">
              <w:rPr>
                <w:rFonts w:cs="Arial"/>
                <w:color w:val="4F81BD" w:themeColor="accent1"/>
                <w:sz w:val="20"/>
                <w:szCs w:val="20"/>
              </w:rPr>
              <w:t>Director’s</w:t>
            </w:r>
            <w:r w:rsidRPr="00B6657F">
              <w:rPr>
                <w:rFonts w:cs="Arial"/>
                <w:color w:val="4F81BD" w:themeColor="accent1"/>
                <w:sz w:val="20"/>
                <w:szCs w:val="20"/>
              </w:rPr>
              <w:t xml:space="preserve"> </w:t>
            </w:r>
            <w:r w:rsidRPr="00B6657F">
              <w:rPr>
                <w:rFonts w:cs="Arial"/>
                <w:color w:val="4F81BD" w:themeColor="accent1"/>
                <w:sz w:val="20"/>
                <w:szCs w:val="20"/>
              </w:rPr>
              <w:t>Education Excellence</w:t>
            </w:r>
          </w:p>
        </w:tc>
        <w:tc>
          <w:tcPr>
            <w:tcW w:w="8221" w:type="dxa"/>
          </w:tcPr>
          <w:p w14:paraId="3E09C62F" w14:textId="2D57D444" w:rsidR="00B6657F" w:rsidRPr="00B6657F" w:rsidRDefault="00B6657F" w:rsidP="00B6657F">
            <w:pPr>
              <w:tabs>
                <w:tab w:val="left" w:pos="1418"/>
                <w:tab w:val="left" w:pos="6237"/>
              </w:tabs>
              <w:spacing w:before="100" w:after="100"/>
              <w:jc w:val="both"/>
              <w:rPr>
                <w:rFonts w:eastAsia="Calibri" w:cs="Times New Roman"/>
                <w:sz w:val="20"/>
                <w:szCs w:val="20"/>
              </w:rPr>
            </w:pPr>
            <w:r w:rsidRPr="00B6657F">
              <w:rPr>
                <w:rFonts w:cs="Arial"/>
                <w:sz w:val="20"/>
                <w:szCs w:val="20"/>
              </w:rPr>
              <w:t>For verifying that any underage enrolment accepted by The Gordon within their Centres meets legislative criteria for admission of underage students and that the process documented in this policy is followed.</w:t>
            </w:r>
          </w:p>
        </w:tc>
      </w:tr>
      <w:tr w:rsidR="00B6657F" w:rsidRPr="009A639D" w14:paraId="75AACDEF"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2" w:type="dxa"/>
            <w:vAlign w:val="center"/>
          </w:tcPr>
          <w:p w14:paraId="4598BE9A" w14:textId="34AB357F" w:rsidR="00B6657F" w:rsidRPr="00B6657F" w:rsidRDefault="00B6657F" w:rsidP="00B6657F">
            <w:pPr>
              <w:tabs>
                <w:tab w:val="left" w:pos="1418"/>
                <w:tab w:val="left" w:pos="6237"/>
              </w:tabs>
              <w:spacing w:before="100" w:after="100"/>
              <w:rPr>
                <w:rFonts w:cs="Arial"/>
                <w:color w:val="4F81BD" w:themeColor="accent1"/>
                <w:sz w:val="20"/>
                <w:szCs w:val="20"/>
              </w:rPr>
            </w:pPr>
            <w:r w:rsidRPr="00B6657F">
              <w:rPr>
                <w:rFonts w:cs="Arial"/>
                <w:color w:val="4F81BD" w:themeColor="accent1"/>
                <w:sz w:val="20"/>
                <w:szCs w:val="20"/>
              </w:rPr>
              <w:t xml:space="preserve"> Manager – Student Wellbeing &amp; Inclusion</w:t>
            </w:r>
          </w:p>
        </w:tc>
        <w:tc>
          <w:tcPr>
            <w:tcW w:w="8221" w:type="dxa"/>
          </w:tcPr>
          <w:p w14:paraId="0FD4E6E6" w14:textId="273023BA" w:rsidR="00B6657F" w:rsidRPr="00B6657F" w:rsidRDefault="00B6657F" w:rsidP="00B6657F">
            <w:pPr>
              <w:tabs>
                <w:tab w:val="left" w:pos="1418"/>
                <w:tab w:val="left" w:pos="6237"/>
              </w:tabs>
              <w:spacing w:before="100" w:after="100"/>
              <w:jc w:val="both"/>
              <w:rPr>
                <w:rFonts w:cs="Arial"/>
                <w:sz w:val="20"/>
                <w:szCs w:val="20"/>
              </w:rPr>
            </w:pPr>
            <w:r w:rsidRPr="00B6657F">
              <w:rPr>
                <w:rFonts w:cs="Arial"/>
                <w:sz w:val="20"/>
                <w:szCs w:val="20"/>
              </w:rPr>
              <w:t>For ensuring that The Gordon meets its duty of care obligations to provide pastoral support programs for underage students enrolled at The Gordon.</w:t>
            </w:r>
          </w:p>
        </w:tc>
      </w:tr>
      <w:tr w:rsidR="00B6657F" w:rsidRPr="009A639D" w14:paraId="00CFD548"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2" w:type="dxa"/>
            <w:vAlign w:val="center"/>
          </w:tcPr>
          <w:p w14:paraId="627A5C95" w14:textId="77777777" w:rsidR="00B6657F" w:rsidRPr="00B6657F" w:rsidRDefault="00B6657F" w:rsidP="00B6657F">
            <w:pPr>
              <w:tabs>
                <w:tab w:val="left" w:pos="1418"/>
                <w:tab w:val="left" w:pos="6237"/>
              </w:tabs>
              <w:spacing w:before="100" w:after="100"/>
              <w:rPr>
                <w:rFonts w:cs="Arial"/>
                <w:color w:val="4F81BD" w:themeColor="accent1"/>
                <w:sz w:val="20"/>
                <w:szCs w:val="20"/>
              </w:rPr>
            </w:pPr>
          </w:p>
        </w:tc>
        <w:tc>
          <w:tcPr>
            <w:tcW w:w="8221" w:type="dxa"/>
          </w:tcPr>
          <w:p w14:paraId="0B3EBC70" w14:textId="4035CE4C" w:rsidR="00B6657F" w:rsidRPr="00B6657F" w:rsidRDefault="00B6657F" w:rsidP="00B6657F">
            <w:pPr>
              <w:tabs>
                <w:tab w:val="left" w:pos="1418"/>
                <w:tab w:val="left" w:pos="6237"/>
              </w:tabs>
              <w:spacing w:before="100" w:after="100"/>
              <w:jc w:val="both"/>
              <w:rPr>
                <w:rFonts w:cs="Arial"/>
                <w:sz w:val="20"/>
                <w:szCs w:val="20"/>
              </w:rPr>
            </w:pPr>
            <w:r w:rsidRPr="00B6657F">
              <w:rPr>
                <w:rFonts w:cs="Arial"/>
                <w:sz w:val="20"/>
                <w:szCs w:val="20"/>
              </w:rPr>
              <w:t>For ensuring that The Gordon meets its duty of care obligations to provide in program youth support for underage students enrolled at The Gordon in their specialist youth Program Areas.</w:t>
            </w:r>
          </w:p>
        </w:tc>
      </w:tr>
      <w:tr w:rsidR="00B6657F" w:rsidRPr="009A639D" w14:paraId="245CFE8D"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2" w:type="dxa"/>
            <w:vAlign w:val="center"/>
          </w:tcPr>
          <w:p w14:paraId="776AA4C5" w14:textId="1E9E3B98" w:rsidR="00B6657F" w:rsidRPr="00B6657F" w:rsidRDefault="00B6657F" w:rsidP="00B6657F">
            <w:pPr>
              <w:tabs>
                <w:tab w:val="left" w:pos="1418"/>
                <w:tab w:val="left" w:pos="6237"/>
              </w:tabs>
              <w:spacing w:before="100" w:after="100"/>
              <w:rPr>
                <w:rFonts w:cs="Arial"/>
                <w:color w:val="4F81BD" w:themeColor="accent1"/>
                <w:sz w:val="20"/>
                <w:szCs w:val="20"/>
              </w:rPr>
            </w:pPr>
            <w:r w:rsidRPr="00B6657F">
              <w:rPr>
                <w:rFonts w:cs="Arial"/>
                <w:color w:val="4F81BD" w:themeColor="accent1"/>
                <w:sz w:val="20"/>
                <w:szCs w:val="20"/>
              </w:rPr>
              <w:t xml:space="preserve"> Manager – Student Connect</w:t>
            </w:r>
          </w:p>
        </w:tc>
        <w:tc>
          <w:tcPr>
            <w:tcW w:w="8221" w:type="dxa"/>
          </w:tcPr>
          <w:p w14:paraId="514021C9" w14:textId="3760FDED" w:rsidR="00B6657F" w:rsidRPr="00B6657F" w:rsidRDefault="00B6657F" w:rsidP="00B6657F">
            <w:pPr>
              <w:tabs>
                <w:tab w:val="left" w:pos="1418"/>
                <w:tab w:val="left" w:pos="6237"/>
              </w:tabs>
              <w:spacing w:before="100" w:after="100"/>
              <w:jc w:val="both"/>
              <w:rPr>
                <w:rFonts w:cs="Arial"/>
                <w:sz w:val="20"/>
                <w:szCs w:val="20"/>
              </w:rPr>
            </w:pPr>
            <w:r w:rsidRPr="00B6657F">
              <w:rPr>
                <w:rFonts w:cs="Arial"/>
                <w:sz w:val="20"/>
                <w:szCs w:val="20"/>
              </w:rPr>
              <w:t>For ensuring that potential underage applicants are identified and this admission process is initiated any that The Department and previous school are notified when a student completes or ceases training whilst still under 17</w:t>
            </w:r>
          </w:p>
        </w:tc>
      </w:tr>
      <w:tr w:rsidR="00B6657F" w:rsidRPr="009A639D" w14:paraId="3289A309"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2" w:type="dxa"/>
            <w:vAlign w:val="center"/>
          </w:tcPr>
          <w:p w14:paraId="11D772D4" w14:textId="6540607A" w:rsidR="00B6657F" w:rsidRPr="00B6657F" w:rsidRDefault="00B6657F" w:rsidP="00B6657F">
            <w:pPr>
              <w:tabs>
                <w:tab w:val="left" w:pos="1418"/>
                <w:tab w:val="left" w:pos="6237"/>
              </w:tabs>
              <w:spacing w:before="100" w:after="100"/>
              <w:rPr>
                <w:rFonts w:cs="Arial"/>
                <w:color w:val="4F81BD" w:themeColor="accent1"/>
                <w:sz w:val="20"/>
                <w:szCs w:val="20"/>
              </w:rPr>
            </w:pPr>
            <w:r w:rsidRPr="00B6657F">
              <w:rPr>
                <w:rFonts w:cs="Arial"/>
                <w:color w:val="4F81BD" w:themeColor="accent1"/>
                <w:sz w:val="20"/>
                <w:szCs w:val="20"/>
              </w:rPr>
              <w:t>All Gordon staff</w:t>
            </w:r>
          </w:p>
        </w:tc>
        <w:tc>
          <w:tcPr>
            <w:tcW w:w="8221" w:type="dxa"/>
          </w:tcPr>
          <w:p w14:paraId="115CDCA7" w14:textId="71C22676" w:rsidR="00B6657F" w:rsidRPr="00B6657F" w:rsidRDefault="00B6657F" w:rsidP="00B6657F">
            <w:pPr>
              <w:tabs>
                <w:tab w:val="left" w:pos="1418"/>
                <w:tab w:val="left" w:pos="6237"/>
              </w:tabs>
              <w:spacing w:before="100" w:after="100"/>
              <w:jc w:val="both"/>
              <w:rPr>
                <w:rFonts w:cs="Arial"/>
                <w:sz w:val="20"/>
                <w:szCs w:val="20"/>
              </w:rPr>
            </w:pPr>
            <w:r w:rsidRPr="00B6657F">
              <w:rPr>
                <w:rFonts w:cs="Arial"/>
                <w:sz w:val="20"/>
                <w:szCs w:val="20"/>
              </w:rPr>
              <w:t>To have a legal responsibility under the Child Safe Standards to report any suspected abuse of a young person enrolled at The Gordon</w:t>
            </w:r>
          </w:p>
        </w:tc>
      </w:tr>
    </w:tbl>
    <w:p w14:paraId="0DB45A52" w14:textId="77777777" w:rsidR="00D918DE" w:rsidRPr="009A639D" w:rsidRDefault="00D918DE" w:rsidP="008145E9">
      <w:pPr>
        <w:ind w:left="567" w:hanging="567"/>
      </w:pPr>
    </w:p>
    <w:p w14:paraId="5AF9A513" w14:textId="77777777" w:rsidR="00EC62B2" w:rsidRPr="009A639D" w:rsidRDefault="00EC62B2" w:rsidP="00EC62B2">
      <w:pPr>
        <w:pStyle w:val="Heading3"/>
        <w:numPr>
          <w:ilvl w:val="0"/>
          <w:numId w:val="15"/>
        </w:numPr>
        <w:ind w:left="567" w:hanging="567"/>
        <w:rPr>
          <w:color w:val="000000" w:themeColor="text1"/>
        </w:rPr>
      </w:pPr>
      <w:r w:rsidRPr="009A639D">
        <w:rPr>
          <w:color w:val="000000" w:themeColor="text1"/>
        </w:rPr>
        <w:t>Definitions</w:t>
      </w:r>
    </w:p>
    <w:p w14:paraId="363EA6F7" w14:textId="77777777" w:rsidR="00EC62B2" w:rsidRPr="009A639D" w:rsidRDefault="00EC62B2" w:rsidP="00EC62B2">
      <w:pPr>
        <w:ind w:left="567" w:hanging="567"/>
        <w:rPr>
          <w:sz w:val="20"/>
          <w:szCs w:val="20"/>
        </w:rPr>
      </w:pPr>
      <w:bookmarkStart w:id="1" w:name="_Hlk139977108"/>
      <w:r w:rsidRPr="009A639D">
        <w:rPr>
          <w:sz w:val="20"/>
          <w:szCs w:val="20"/>
        </w:rPr>
        <w:t xml:space="preserve">The following terms and abbreviations are specific to this policy: </w:t>
      </w:r>
    </w:p>
    <w:tbl>
      <w:tblPr>
        <w:tblW w:w="10773" w:type="dxa"/>
        <w:tblInd w:w="-5" w:type="dxa"/>
        <w:tblBorders>
          <w:top w:val="single" w:sz="4" w:space="0" w:color="999999"/>
          <w:left w:val="single" w:sz="4" w:space="0" w:color="999999"/>
          <w:bottom w:val="single" w:sz="4" w:space="0" w:color="999999"/>
          <w:right w:val="single" w:sz="4" w:space="0" w:color="999999"/>
        </w:tblBorders>
        <w:tblLayout w:type="fixed"/>
        <w:tblLook w:val="04A0" w:firstRow="1" w:lastRow="0" w:firstColumn="1" w:lastColumn="0" w:noHBand="0" w:noVBand="1"/>
      </w:tblPr>
      <w:tblGrid>
        <w:gridCol w:w="2556"/>
        <w:gridCol w:w="8217"/>
      </w:tblGrid>
      <w:tr w:rsidR="00EC62B2" w:rsidRPr="009A639D" w14:paraId="611D9BAE" w14:textId="77777777" w:rsidTr="008C318A">
        <w:tc>
          <w:tcPr>
            <w:tcW w:w="2556" w:type="dxa"/>
            <w:tcBorders>
              <w:top w:val="single" w:sz="4" w:space="0" w:color="999999"/>
              <w:left w:val="single" w:sz="4" w:space="0" w:color="999999"/>
              <w:bottom w:val="single" w:sz="4" w:space="0" w:color="999999"/>
              <w:right w:val="single" w:sz="4" w:space="0" w:color="999999"/>
            </w:tcBorders>
            <w:shd w:val="clear" w:color="auto" w:fill="FFFFFF"/>
          </w:tcPr>
          <w:p w14:paraId="127C2C5B" w14:textId="77777777" w:rsidR="00EC62B2" w:rsidRPr="009A639D" w:rsidRDefault="00EC62B2" w:rsidP="00E505C8">
            <w:pPr>
              <w:spacing w:before="40" w:after="40"/>
              <w:jc w:val="both"/>
              <w:rPr>
                <w:rFonts w:eastAsia="Times New Roman" w:cs="Times New Roman"/>
                <w:b/>
                <w:bCs/>
                <w:color w:val="FFFFFF"/>
                <w:sz w:val="20"/>
                <w:szCs w:val="20"/>
              </w:rPr>
            </w:pPr>
            <w:r w:rsidRPr="009A639D">
              <w:rPr>
                <w:rFonts w:eastAsia="Times New Roman" w:cs="Times New Roman"/>
                <w:b/>
                <w:color w:val="000000"/>
                <w:sz w:val="20"/>
                <w:szCs w:val="20"/>
              </w:rPr>
              <w:t>Name</w:t>
            </w:r>
          </w:p>
        </w:tc>
        <w:tc>
          <w:tcPr>
            <w:tcW w:w="8217" w:type="dxa"/>
            <w:tcBorders>
              <w:top w:val="single" w:sz="4" w:space="0" w:color="999999"/>
              <w:left w:val="single" w:sz="4" w:space="0" w:color="999999"/>
              <w:bottom w:val="single" w:sz="4" w:space="0" w:color="999999"/>
              <w:right w:val="single" w:sz="4" w:space="0" w:color="999999"/>
            </w:tcBorders>
            <w:shd w:val="clear" w:color="auto" w:fill="FFFFFF"/>
            <w:hideMark/>
          </w:tcPr>
          <w:p w14:paraId="40BE5708" w14:textId="77777777" w:rsidR="00EC62B2" w:rsidRPr="009A639D" w:rsidRDefault="00EC62B2" w:rsidP="00E505C8">
            <w:pPr>
              <w:spacing w:before="40" w:after="40"/>
              <w:jc w:val="both"/>
              <w:rPr>
                <w:rFonts w:eastAsia="Times New Roman" w:cs="Times New Roman"/>
                <w:b/>
                <w:color w:val="000000"/>
                <w:sz w:val="20"/>
                <w:szCs w:val="20"/>
              </w:rPr>
            </w:pPr>
            <w:r w:rsidRPr="009A639D">
              <w:rPr>
                <w:rFonts w:eastAsia="Times New Roman" w:cs="Times New Roman"/>
                <w:b/>
                <w:color w:val="000000"/>
                <w:sz w:val="20"/>
                <w:szCs w:val="20"/>
              </w:rPr>
              <w:t>Description</w:t>
            </w:r>
          </w:p>
        </w:tc>
      </w:tr>
      <w:tr w:rsidR="00EC62B2" w:rsidRPr="009A639D" w14:paraId="0A3D49B0"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6" w:type="dxa"/>
            <w:vAlign w:val="center"/>
          </w:tcPr>
          <w:p w14:paraId="47EA50E1" w14:textId="481E6510" w:rsidR="00EC62B2" w:rsidRPr="009A639D" w:rsidRDefault="00B6657F" w:rsidP="00E505C8">
            <w:pPr>
              <w:tabs>
                <w:tab w:val="left" w:pos="1418"/>
                <w:tab w:val="left" w:pos="6237"/>
              </w:tabs>
              <w:spacing w:before="100" w:after="100"/>
              <w:rPr>
                <w:rFonts w:eastAsia="Calibri" w:cs="Arial"/>
                <w:bCs/>
                <w:color w:val="6384BD"/>
                <w:sz w:val="20"/>
                <w:szCs w:val="20"/>
              </w:rPr>
            </w:pPr>
            <w:r>
              <w:rPr>
                <w:rFonts w:eastAsia="Calibri" w:cs="Arial"/>
                <w:bCs/>
                <w:color w:val="6384BD"/>
                <w:sz w:val="20"/>
                <w:szCs w:val="20"/>
              </w:rPr>
              <w:t>Mature minor</w:t>
            </w:r>
          </w:p>
        </w:tc>
        <w:tc>
          <w:tcPr>
            <w:tcW w:w="8217" w:type="dxa"/>
          </w:tcPr>
          <w:p w14:paraId="0E62E9F6" w14:textId="77777777" w:rsidR="00B6657F" w:rsidRPr="00B6657F" w:rsidRDefault="00B6657F" w:rsidP="00B6657F">
            <w:pPr>
              <w:rPr>
                <w:sz w:val="20"/>
                <w:szCs w:val="20"/>
              </w:rPr>
            </w:pPr>
            <w:r w:rsidRPr="00B6657F">
              <w:rPr>
                <w:sz w:val="20"/>
                <w:szCs w:val="20"/>
              </w:rPr>
              <w:t xml:space="preserve">The law recognises that as children become older and more mature they are more capable of making their own decisions about a wide range of issues including decisions about the education, healthcare and wellbeing. The law recognises that a young person may reach this stage before they are 18 years old. These young people are referred to as “mature minors”. </w:t>
            </w:r>
          </w:p>
          <w:p w14:paraId="03B63998" w14:textId="56DD4037" w:rsidR="00B6657F" w:rsidRPr="00B6657F" w:rsidRDefault="00B6657F" w:rsidP="00B6657F">
            <w:pPr>
              <w:rPr>
                <w:sz w:val="20"/>
                <w:szCs w:val="20"/>
              </w:rPr>
            </w:pPr>
            <w:r w:rsidRPr="00B6657F">
              <w:rPr>
                <w:sz w:val="20"/>
                <w:szCs w:val="20"/>
              </w:rPr>
              <w:t>A mature minor consent must be informed, voluntary, specific and current. A student counsellor must assess and establish this, based upon their interview/s and conversations with the student and considering the student’s:</w:t>
            </w:r>
          </w:p>
          <w:p w14:paraId="00CC2AAE" w14:textId="77777777" w:rsidR="00B6657F" w:rsidRPr="00B6657F" w:rsidRDefault="00B6657F" w:rsidP="00B6657F">
            <w:pPr>
              <w:numPr>
                <w:ilvl w:val="0"/>
                <w:numId w:val="24"/>
              </w:numPr>
              <w:spacing w:before="0" w:after="0"/>
              <w:ind w:left="455" w:hanging="455"/>
              <w:jc w:val="both"/>
              <w:rPr>
                <w:sz w:val="20"/>
                <w:szCs w:val="20"/>
              </w:rPr>
            </w:pPr>
            <w:r w:rsidRPr="00B6657F">
              <w:rPr>
                <w:sz w:val="20"/>
                <w:szCs w:val="20"/>
              </w:rPr>
              <w:t>Age</w:t>
            </w:r>
          </w:p>
          <w:p w14:paraId="338DFA00" w14:textId="77777777" w:rsidR="00B6657F" w:rsidRPr="00B6657F" w:rsidRDefault="00B6657F" w:rsidP="00B6657F">
            <w:pPr>
              <w:numPr>
                <w:ilvl w:val="0"/>
                <w:numId w:val="24"/>
              </w:numPr>
              <w:spacing w:before="0" w:after="0"/>
              <w:ind w:left="455" w:hanging="455"/>
              <w:jc w:val="both"/>
              <w:rPr>
                <w:sz w:val="20"/>
                <w:szCs w:val="20"/>
              </w:rPr>
            </w:pPr>
            <w:r w:rsidRPr="00B6657F">
              <w:rPr>
                <w:sz w:val="20"/>
                <w:szCs w:val="20"/>
              </w:rPr>
              <w:t>Level of maturity for their age</w:t>
            </w:r>
          </w:p>
          <w:p w14:paraId="68BCB2F5" w14:textId="77777777" w:rsidR="00B6657F" w:rsidRPr="00B6657F" w:rsidRDefault="00B6657F" w:rsidP="00B6657F">
            <w:pPr>
              <w:numPr>
                <w:ilvl w:val="0"/>
                <w:numId w:val="24"/>
              </w:numPr>
              <w:spacing w:before="0" w:after="0"/>
              <w:ind w:left="455" w:hanging="455"/>
              <w:jc w:val="both"/>
              <w:rPr>
                <w:sz w:val="20"/>
                <w:szCs w:val="20"/>
              </w:rPr>
            </w:pPr>
            <w:r w:rsidRPr="00B6657F">
              <w:rPr>
                <w:sz w:val="20"/>
                <w:szCs w:val="20"/>
              </w:rPr>
              <w:t>Understanding of the issues and consequences</w:t>
            </w:r>
          </w:p>
          <w:p w14:paraId="2A2A47FF" w14:textId="77777777" w:rsidR="00B6657F" w:rsidRPr="00B6657F" w:rsidRDefault="00B6657F" w:rsidP="00B6657F">
            <w:pPr>
              <w:numPr>
                <w:ilvl w:val="0"/>
                <w:numId w:val="24"/>
              </w:numPr>
              <w:spacing w:before="0" w:after="0"/>
              <w:ind w:left="455" w:hanging="455"/>
              <w:jc w:val="both"/>
              <w:rPr>
                <w:sz w:val="20"/>
                <w:szCs w:val="20"/>
              </w:rPr>
            </w:pPr>
            <w:r w:rsidRPr="00B6657F">
              <w:rPr>
                <w:sz w:val="20"/>
                <w:szCs w:val="20"/>
              </w:rPr>
              <w:t>Minor living independently</w:t>
            </w:r>
          </w:p>
          <w:p w14:paraId="032DAC72" w14:textId="32A4AF85" w:rsidR="00EC62B2" w:rsidRPr="00B6657F" w:rsidRDefault="00B6657F" w:rsidP="00B6657F">
            <w:pPr>
              <w:numPr>
                <w:ilvl w:val="0"/>
                <w:numId w:val="24"/>
              </w:numPr>
              <w:spacing w:before="0" w:after="0"/>
              <w:ind w:left="455" w:hanging="455"/>
              <w:jc w:val="both"/>
              <w:rPr>
                <w:sz w:val="20"/>
                <w:szCs w:val="20"/>
              </w:rPr>
            </w:pPr>
            <w:r w:rsidRPr="00B6657F">
              <w:rPr>
                <w:sz w:val="20"/>
                <w:szCs w:val="20"/>
              </w:rPr>
              <w:t>Previous academic results</w:t>
            </w:r>
          </w:p>
        </w:tc>
      </w:tr>
      <w:tr w:rsidR="00EC62B2" w:rsidRPr="009A639D" w14:paraId="35A3DD77"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6" w:type="dxa"/>
            <w:vAlign w:val="center"/>
          </w:tcPr>
          <w:p w14:paraId="6C40A839" w14:textId="27690B06" w:rsidR="00EC62B2" w:rsidRPr="009A639D" w:rsidRDefault="00B6657F" w:rsidP="00E505C8">
            <w:pPr>
              <w:tabs>
                <w:tab w:val="left" w:pos="1418"/>
                <w:tab w:val="left" w:pos="6237"/>
              </w:tabs>
              <w:spacing w:before="100" w:after="100"/>
              <w:rPr>
                <w:rFonts w:eastAsia="Calibri" w:cs="Arial"/>
                <w:bCs/>
                <w:color w:val="6384BD"/>
                <w:sz w:val="20"/>
                <w:szCs w:val="20"/>
              </w:rPr>
            </w:pPr>
            <w:r>
              <w:rPr>
                <w:rFonts w:eastAsia="Calibri" w:cs="Arial"/>
                <w:bCs/>
                <w:color w:val="6384BD"/>
                <w:sz w:val="20"/>
                <w:szCs w:val="20"/>
              </w:rPr>
              <w:t>Minor living independently</w:t>
            </w:r>
          </w:p>
        </w:tc>
        <w:tc>
          <w:tcPr>
            <w:tcW w:w="8217" w:type="dxa"/>
          </w:tcPr>
          <w:p w14:paraId="2C53F5F8" w14:textId="0266107C" w:rsidR="00B6657F" w:rsidRPr="00B6657F" w:rsidRDefault="00B6657F" w:rsidP="00B6657F">
            <w:pPr>
              <w:rPr>
                <w:sz w:val="20"/>
                <w:szCs w:val="20"/>
              </w:rPr>
            </w:pPr>
            <w:r w:rsidRPr="00B6657F">
              <w:rPr>
                <w:sz w:val="20"/>
                <w:szCs w:val="20"/>
              </w:rPr>
              <w:t>A minor living independently generally means a young person aged at least 15 years who is not living in the day to day care of a parent or carer pursuant to a court order.</w:t>
            </w:r>
            <w:r w:rsidRPr="00B6657F">
              <w:rPr>
                <w:sz w:val="20"/>
                <w:szCs w:val="20"/>
              </w:rPr>
              <w:tab/>
            </w:r>
          </w:p>
          <w:p w14:paraId="078287E4" w14:textId="79CE8234" w:rsidR="00EC62B2" w:rsidRPr="00B6657F" w:rsidRDefault="00B6657F" w:rsidP="00B6657F">
            <w:pPr>
              <w:rPr>
                <w:sz w:val="20"/>
                <w:szCs w:val="20"/>
              </w:rPr>
            </w:pPr>
            <w:r w:rsidRPr="00B6657F">
              <w:rPr>
                <w:sz w:val="20"/>
                <w:szCs w:val="20"/>
              </w:rPr>
              <w:t>However, minors sometimes choose to live separately or independently from their parents, many trainees and apprentices are financially independent of their parents. When a student is living independently, the student may ask that the Gordon deem them a mature minor for all aspects of their education and welfare, so that the Gordon no longer involves their parents in decisions about their education, and no longer inform their parents about their educational matters.</w:t>
            </w:r>
          </w:p>
        </w:tc>
      </w:tr>
      <w:tr w:rsidR="00B6657F" w:rsidRPr="009A639D" w14:paraId="51A5D9CE" w14:textId="77777777" w:rsidTr="008C318A">
        <w:tblPrEx>
          <w:tblBorders>
            <w:top w:val="single" w:sz="4" w:space="0" w:color="5F6062"/>
            <w:left w:val="single" w:sz="4" w:space="0" w:color="5F6062"/>
            <w:bottom w:val="single" w:sz="4" w:space="0" w:color="5F6062"/>
            <w:right w:val="single" w:sz="4" w:space="0" w:color="5F6062"/>
            <w:insideH w:val="single" w:sz="4" w:space="0" w:color="B0B1B3"/>
            <w:insideV w:val="single" w:sz="4" w:space="0" w:color="B0B1B3"/>
          </w:tblBorders>
          <w:tblLook w:val="0000" w:firstRow="0" w:lastRow="0" w:firstColumn="0" w:lastColumn="0" w:noHBand="0" w:noVBand="0"/>
        </w:tblPrEx>
        <w:tc>
          <w:tcPr>
            <w:tcW w:w="2556" w:type="dxa"/>
            <w:vAlign w:val="center"/>
          </w:tcPr>
          <w:p w14:paraId="4C8434C8" w14:textId="72D05811" w:rsidR="00B6657F" w:rsidRDefault="00B6657F" w:rsidP="00E505C8">
            <w:pPr>
              <w:tabs>
                <w:tab w:val="left" w:pos="1418"/>
                <w:tab w:val="left" w:pos="6237"/>
              </w:tabs>
              <w:spacing w:before="100" w:after="100"/>
              <w:rPr>
                <w:rFonts w:eastAsia="Calibri" w:cs="Arial"/>
                <w:bCs/>
                <w:color w:val="6384BD"/>
                <w:sz w:val="20"/>
                <w:szCs w:val="20"/>
              </w:rPr>
            </w:pPr>
            <w:r>
              <w:rPr>
                <w:rFonts w:eastAsia="Calibri" w:cs="Arial"/>
                <w:bCs/>
                <w:color w:val="6384BD"/>
                <w:sz w:val="20"/>
                <w:szCs w:val="20"/>
              </w:rPr>
              <w:t>Compulsory school age</w:t>
            </w:r>
          </w:p>
        </w:tc>
        <w:tc>
          <w:tcPr>
            <w:tcW w:w="8217" w:type="dxa"/>
          </w:tcPr>
          <w:p w14:paraId="7B286FE1" w14:textId="77777777" w:rsidR="00B6657F" w:rsidRPr="00B6657F" w:rsidRDefault="00B6657F" w:rsidP="00B6657F">
            <w:pPr>
              <w:rPr>
                <w:sz w:val="20"/>
                <w:szCs w:val="20"/>
              </w:rPr>
            </w:pPr>
            <w:r w:rsidRPr="00B6657F">
              <w:rPr>
                <w:sz w:val="20"/>
                <w:szCs w:val="20"/>
              </w:rPr>
              <w:t>The compulsory school age is a mandatory requirement for:</w:t>
            </w:r>
          </w:p>
          <w:p w14:paraId="5959095E" w14:textId="77777777" w:rsidR="00B6657F" w:rsidRPr="00B6657F" w:rsidRDefault="00B6657F" w:rsidP="00B6657F">
            <w:pPr>
              <w:numPr>
                <w:ilvl w:val="0"/>
                <w:numId w:val="25"/>
              </w:numPr>
              <w:tabs>
                <w:tab w:val="left" w:pos="597"/>
              </w:tabs>
              <w:spacing w:before="0" w:after="0"/>
              <w:ind w:left="455" w:hanging="455"/>
              <w:jc w:val="both"/>
              <w:rPr>
                <w:sz w:val="20"/>
                <w:szCs w:val="20"/>
              </w:rPr>
            </w:pPr>
            <w:r w:rsidRPr="00B6657F">
              <w:rPr>
                <w:sz w:val="20"/>
                <w:szCs w:val="20"/>
              </w:rPr>
              <w:t xml:space="preserve">All young people to participate in schooling (meaning in school or an approved equivalent) until they complete Year 10; and </w:t>
            </w:r>
          </w:p>
          <w:p w14:paraId="06E9C7E2" w14:textId="07FEC31A" w:rsidR="00B6657F" w:rsidRPr="00B6657F" w:rsidRDefault="00B6657F" w:rsidP="00B6657F">
            <w:pPr>
              <w:numPr>
                <w:ilvl w:val="0"/>
                <w:numId w:val="25"/>
              </w:numPr>
              <w:tabs>
                <w:tab w:val="left" w:pos="597"/>
              </w:tabs>
              <w:spacing w:before="0" w:after="0"/>
              <w:ind w:left="455" w:hanging="455"/>
              <w:jc w:val="both"/>
              <w:rPr>
                <w:sz w:val="20"/>
                <w:szCs w:val="20"/>
              </w:rPr>
            </w:pPr>
            <w:r w:rsidRPr="00B6657F">
              <w:rPr>
                <w:sz w:val="20"/>
                <w:szCs w:val="20"/>
              </w:rPr>
              <w:lastRenderedPageBreak/>
              <w:t>All young people who have completed Year 10, to participate full-time (defined as at least 25 hours per week) in education, training or employment, or a combination of these activities, until age 17.</w:t>
            </w:r>
          </w:p>
        </w:tc>
      </w:tr>
      <w:bookmarkEnd w:id="1"/>
    </w:tbl>
    <w:p w14:paraId="2E116E09" w14:textId="77777777" w:rsidR="00B6657F" w:rsidRPr="009A639D" w:rsidRDefault="00B6657F" w:rsidP="008145E9">
      <w:pPr>
        <w:ind w:left="567" w:hanging="567"/>
      </w:pPr>
    </w:p>
    <w:p w14:paraId="7E81F663" w14:textId="171E78A3" w:rsidR="00576D45" w:rsidRPr="009A639D" w:rsidRDefault="00576D45" w:rsidP="008145E9">
      <w:pPr>
        <w:pStyle w:val="Heading3"/>
        <w:numPr>
          <w:ilvl w:val="0"/>
          <w:numId w:val="15"/>
        </w:numPr>
        <w:ind w:left="567" w:hanging="567"/>
        <w:rPr>
          <w:color w:val="000000" w:themeColor="text1"/>
        </w:rPr>
      </w:pPr>
      <w:r w:rsidRPr="009A639D">
        <w:rPr>
          <w:color w:val="000000" w:themeColor="text1"/>
        </w:rPr>
        <w:t xml:space="preserve">Key </w:t>
      </w:r>
      <w:r w:rsidR="00E54430">
        <w:rPr>
          <w:color w:val="000000" w:themeColor="text1"/>
        </w:rPr>
        <w:t>A</w:t>
      </w:r>
      <w:r w:rsidRPr="009A639D">
        <w:rPr>
          <w:color w:val="000000" w:themeColor="text1"/>
        </w:rPr>
        <w:t xml:space="preserve">ligned </w:t>
      </w:r>
      <w:r w:rsidR="00E54430">
        <w:rPr>
          <w:color w:val="000000" w:themeColor="text1"/>
        </w:rPr>
        <w:t>I</w:t>
      </w:r>
      <w:r w:rsidRPr="009A639D">
        <w:rPr>
          <w:color w:val="000000" w:themeColor="text1"/>
        </w:rPr>
        <w:t xml:space="preserve">nternal </w:t>
      </w:r>
      <w:r w:rsidR="00E54430">
        <w:rPr>
          <w:color w:val="000000" w:themeColor="text1"/>
        </w:rPr>
        <w:t>D</w:t>
      </w:r>
      <w:r w:rsidRPr="009A639D">
        <w:rPr>
          <w:color w:val="000000" w:themeColor="text1"/>
        </w:rPr>
        <w:t>ocuments</w:t>
      </w:r>
    </w:p>
    <w:p w14:paraId="5AD63A16" w14:textId="3302C916" w:rsidR="00576D45" w:rsidRPr="009A639D" w:rsidRDefault="00576D45" w:rsidP="008145E9">
      <w:pPr>
        <w:tabs>
          <w:tab w:val="left" w:pos="1418"/>
          <w:tab w:val="left" w:pos="6237"/>
        </w:tabs>
        <w:rPr>
          <w:rFonts w:cs="Arial"/>
          <w:sz w:val="20"/>
          <w:szCs w:val="20"/>
        </w:rPr>
      </w:pPr>
      <w:bookmarkStart w:id="2" w:name="_Hlk138170182"/>
      <w:r w:rsidRPr="009A639D">
        <w:rPr>
          <w:rFonts w:cs="Arial"/>
          <w:sz w:val="20"/>
          <w:szCs w:val="20"/>
        </w:rPr>
        <w:t xml:space="preserve">Refer to the </w:t>
      </w:r>
      <w:hyperlink r:id="rId14" w:history="1">
        <w:r w:rsidRPr="009A639D">
          <w:rPr>
            <w:rStyle w:val="Hyperlink"/>
            <w:rFonts w:cs="Arial"/>
            <w:i/>
            <w:color w:val="4F81BD" w:themeColor="accent1"/>
            <w:sz w:val="20"/>
            <w:szCs w:val="20"/>
          </w:rPr>
          <w:t>Operational Management System (OMS)</w:t>
        </w:r>
      </w:hyperlink>
      <w:r w:rsidRPr="009A639D">
        <w:rPr>
          <w:rFonts w:cs="Arial"/>
          <w:sz w:val="20"/>
          <w:szCs w:val="20"/>
        </w:rPr>
        <w:t xml:space="preserve"> for copies of all policies, procedures and supporting documents.</w:t>
      </w:r>
      <w:r w:rsidR="00430B79">
        <w:rPr>
          <w:rFonts w:cs="Arial"/>
          <w:sz w:val="20"/>
          <w:szCs w:val="20"/>
        </w:rPr>
        <w:t xml:space="preserve"> </w:t>
      </w:r>
    </w:p>
    <w:p w14:paraId="5451C11D" w14:textId="77777777" w:rsidR="00D4508A" w:rsidRDefault="00D4508A" w:rsidP="008145E9">
      <w:pPr>
        <w:pStyle w:val="POHyperlink"/>
        <w:spacing w:before="60" w:after="60"/>
        <w:ind w:left="567" w:hanging="567"/>
        <w:rPr>
          <w:i/>
          <w:color w:val="000000" w:themeColor="text1"/>
        </w:rPr>
      </w:pPr>
    </w:p>
    <w:bookmarkEnd w:id="2"/>
    <w:p w14:paraId="4D63FE3D" w14:textId="77777777" w:rsidR="00B6657F" w:rsidRPr="00B6657F" w:rsidRDefault="00B6657F" w:rsidP="00B6657F">
      <w:pPr>
        <w:tabs>
          <w:tab w:val="left" w:pos="567"/>
          <w:tab w:val="left" w:pos="2835"/>
        </w:tabs>
        <w:spacing w:line="360" w:lineRule="auto"/>
        <w:rPr>
          <w:i/>
          <w:color w:val="000000" w:themeColor="text1"/>
          <w:sz w:val="20"/>
          <w:szCs w:val="20"/>
        </w:rPr>
      </w:pPr>
      <w:r w:rsidRPr="00B6657F">
        <w:rPr>
          <w:i/>
          <w:color w:val="000000" w:themeColor="text1"/>
          <w:sz w:val="20"/>
          <w:szCs w:val="20"/>
        </w:rPr>
        <w:t>Parent Guardian Authority STS FO 12.01</w:t>
      </w:r>
    </w:p>
    <w:p w14:paraId="101D4C65" w14:textId="0142A650" w:rsidR="00B6657F" w:rsidRPr="00B6657F" w:rsidRDefault="00B6657F" w:rsidP="00B6657F">
      <w:pPr>
        <w:tabs>
          <w:tab w:val="left" w:pos="567"/>
          <w:tab w:val="left" w:pos="2835"/>
        </w:tabs>
        <w:spacing w:line="360" w:lineRule="auto"/>
        <w:rPr>
          <w:i/>
          <w:color w:val="000000" w:themeColor="text1"/>
          <w:sz w:val="20"/>
          <w:szCs w:val="20"/>
        </w:rPr>
      </w:pPr>
      <w:r w:rsidRPr="00B6657F">
        <w:rPr>
          <w:i/>
          <w:color w:val="000000" w:themeColor="text1"/>
          <w:sz w:val="20"/>
          <w:szCs w:val="20"/>
        </w:rPr>
        <w:t>Consent to Admit Underage Student (Under 18) Short Courses STS FO 12.02</w:t>
      </w:r>
    </w:p>
    <w:p w14:paraId="4F087730" w14:textId="74F30C06" w:rsidR="00B6657F" w:rsidRPr="00B6657F" w:rsidRDefault="00B6657F" w:rsidP="00B6657F">
      <w:pPr>
        <w:tabs>
          <w:tab w:val="left" w:pos="567"/>
          <w:tab w:val="left" w:pos="2835"/>
        </w:tabs>
        <w:spacing w:line="360" w:lineRule="auto"/>
        <w:rPr>
          <w:rFonts w:cs="Arial"/>
          <w:i/>
          <w:color w:val="000000" w:themeColor="text1"/>
          <w:sz w:val="20"/>
          <w:szCs w:val="20"/>
        </w:rPr>
      </w:pPr>
      <w:r w:rsidRPr="00B6657F">
        <w:rPr>
          <w:rFonts w:cs="Arial"/>
          <w:i/>
          <w:color w:val="000000" w:themeColor="text1"/>
          <w:sz w:val="20"/>
          <w:szCs w:val="20"/>
        </w:rPr>
        <w:t>Duty of Care – Vulnerable People RISK PO 15</w:t>
      </w:r>
    </w:p>
    <w:p w14:paraId="12D144A2" w14:textId="2B212E87" w:rsidR="00B6657F" w:rsidRPr="00B6657F" w:rsidRDefault="00B6657F" w:rsidP="00B6657F">
      <w:pPr>
        <w:tabs>
          <w:tab w:val="left" w:pos="567"/>
          <w:tab w:val="left" w:pos="2835"/>
        </w:tabs>
        <w:spacing w:line="360" w:lineRule="auto"/>
        <w:rPr>
          <w:i/>
          <w:color w:val="000000" w:themeColor="text1"/>
          <w:sz w:val="20"/>
          <w:szCs w:val="20"/>
        </w:rPr>
      </w:pPr>
      <w:r w:rsidRPr="00B6657F">
        <w:rPr>
          <w:i/>
          <w:color w:val="000000" w:themeColor="text1"/>
          <w:sz w:val="20"/>
          <w:szCs w:val="20"/>
        </w:rPr>
        <w:t>Admission and Selection Policy STS PO 22</w:t>
      </w:r>
    </w:p>
    <w:p w14:paraId="175CAEBE" w14:textId="77777777" w:rsidR="00E43197" w:rsidRPr="009A639D" w:rsidRDefault="00E43197" w:rsidP="008145E9">
      <w:pPr>
        <w:ind w:left="567" w:hanging="567"/>
        <w:rPr>
          <w:lang w:val="en-US"/>
        </w:rPr>
      </w:pPr>
    </w:p>
    <w:p w14:paraId="59A86C3D" w14:textId="77777777" w:rsidR="00E43197" w:rsidRPr="009A639D" w:rsidRDefault="00E43197" w:rsidP="008145E9">
      <w:pPr>
        <w:pStyle w:val="Heading3"/>
        <w:numPr>
          <w:ilvl w:val="0"/>
          <w:numId w:val="15"/>
        </w:numPr>
        <w:ind w:left="567" w:hanging="567"/>
        <w:rPr>
          <w:color w:val="000000" w:themeColor="text1"/>
          <w:lang w:val="en-US"/>
        </w:rPr>
      </w:pPr>
      <w:r w:rsidRPr="009A639D">
        <w:rPr>
          <w:color w:val="000000" w:themeColor="text1"/>
          <w:lang w:val="en-US"/>
        </w:rPr>
        <w:t xml:space="preserve">Key Aligned Legislation / </w:t>
      </w:r>
      <w:r w:rsidR="00217EA1">
        <w:rPr>
          <w:color w:val="000000" w:themeColor="text1"/>
          <w:lang w:val="en-US"/>
        </w:rPr>
        <w:t>Documents</w:t>
      </w:r>
    </w:p>
    <w:p w14:paraId="61630E28" w14:textId="77777777" w:rsidR="0000493B" w:rsidRPr="0000493B" w:rsidRDefault="0000493B" w:rsidP="0000493B">
      <w:pPr>
        <w:pStyle w:val="Header"/>
        <w:spacing w:line="360" w:lineRule="auto"/>
        <w:rPr>
          <w:i/>
          <w:color w:val="4F81BD" w:themeColor="accent1"/>
          <w:sz w:val="20"/>
          <w:szCs w:val="20"/>
        </w:rPr>
      </w:pPr>
      <w:hyperlink r:id="rId15" w:history="1">
        <w:r w:rsidRPr="0000493B">
          <w:rPr>
            <w:rFonts w:cs="Arial"/>
            <w:i/>
            <w:color w:val="4F81BD" w:themeColor="accent1"/>
            <w:sz w:val="20"/>
            <w:szCs w:val="20"/>
          </w:rPr>
          <w:t>VET</w:t>
        </w:r>
      </w:hyperlink>
      <w:r w:rsidRPr="0000493B">
        <w:rPr>
          <w:rFonts w:cs="Arial"/>
          <w:i/>
          <w:color w:val="4F81BD" w:themeColor="accent1"/>
          <w:sz w:val="20"/>
          <w:szCs w:val="20"/>
        </w:rPr>
        <w:t xml:space="preserve"> Funding Contract (TAFE) Victorian Skills First Program</w:t>
      </w:r>
    </w:p>
    <w:p w14:paraId="3022FFAE" w14:textId="77777777" w:rsidR="0000493B" w:rsidRPr="0000493B" w:rsidRDefault="0000493B" w:rsidP="0000493B">
      <w:pPr>
        <w:spacing w:line="360" w:lineRule="auto"/>
        <w:rPr>
          <w:rFonts w:cs="Arial"/>
          <w:i/>
          <w:color w:val="4F81BD" w:themeColor="accent1"/>
          <w:sz w:val="20"/>
          <w:szCs w:val="20"/>
          <w:lang w:val="en-GB"/>
        </w:rPr>
      </w:pPr>
      <w:hyperlink r:id="rId16" w:history="1">
        <w:r w:rsidRPr="0000493B">
          <w:rPr>
            <w:rFonts w:cs="Arial"/>
            <w:i/>
            <w:color w:val="4F81BD" w:themeColor="accent1"/>
            <w:sz w:val="20"/>
            <w:szCs w:val="20"/>
            <w:lang w:val="en-GB"/>
          </w:rPr>
          <w:t>Education and Training Reform Act 2006</w:t>
        </w:r>
      </w:hyperlink>
      <w:r w:rsidRPr="0000493B">
        <w:rPr>
          <w:rFonts w:cs="Arial"/>
          <w:i/>
          <w:color w:val="4F81BD" w:themeColor="accent1"/>
          <w:sz w:val="20"/>
          <w:szCs w:val="20"/>
          <w:lang w:val="en-GB"/>
        </w:rPr>
        <w:t xml:space="preserve"> (Vic)</w:t>
      </w:r>
    </w:p>
    <w:p w14:paraId="49B7864F" w14:textId="77777777" w:rsidR="0000493B" w:rsidRPr="0000493B" w:rsidRDefault="0000493B" w:rsidP="0000493B">
      <w:pPr>
        <w:spacing w:line="360" w:lineRule="auto"/>
        <w:rPr>
          <w:rFonts w:cs="Arial"/>
          <w:i/>
          <w:color w:val="4F81BD" w:themeColor="accent1"/>
          <w:sz w:val="20"/>
          <w:szCs w:val="20"/>
          <w:lang w:val="en-GB"/>
        </w:rPr>
      </w:pPr>
      <w:hyperlink r:id="rId17" w:history="1">
        <w:r w:rsidRPr="0000493B">
          <w:rPr>
            <w:rFonts w:cs="Arial"/>
            <w:i/>
            <w:color w:val="4F81BD" w:themeColor="accent1"/>
            <w:sz w:val="20"/>
            <w:szCs w:val="20"/>
            <w:lang w:val="en-GB"/>
          </w:rPr>
          <w:t>Standards for Registered Training Organisations (RTOs)</w:t>
        </w:r>
      </w:hyperlink>
      <w:r w:rsidRPr="0000493B">
        <w:rPr>
          <w:rFonts w:cs="Arial"/>
          <w:i/>
          <w:color w:val="4F81BD" w:themeColor="accent1"/>
          <w:sz w:val="20"/>
          <w:szCs w:val="20"/>
          <w:lang w:val="en-GB"/>
        </w:rPr>
        <w:t xml:space="preserve"> 2015</w:t>
      </w:r>
    </w:p>
    <w:p w14:paraId="20A86536" w14:textId="77777777" w:rsidR="0000493B" w:rsidRPr="0000493B" w:rsidRDefault="0000493B" w:rsidP="0000493B">
      <w:pPr>
        <w:spacing w:line="360" w:lineRule="auto"/>
        <w:rPr>
          <w:rFonts w:cs="Arial"/>
          <w:i/>
          <w:color w:val="4F81BD" w:themeColor="accent1"/>
          <w:sz w:val="20"/>
          <w:szCs w:val="20"/>
        </w:rPr>
      </w:pPr>
      <w:r w:rsidRPr="0000493B">
        <w:rPr>
          <w:rFonts w:cs="Arial"/>
          <w:i/>
          <w:color w:val="4F81BD" w:themeColor="accent1"/>
          <w:sz w:val="20"/>
          <w:szCs w:val="20"/>
          <w:lang w:val="en-GB"/>
        </w:rPr>
        <w:t>VET Student Loans Provider Reference Manual</w:t>
      </w:r>
    </w:p>
    <w:p w14:paraId="0904292A" w14:textId="77777777" w:rsidR="00EC62B2" w:rsidRPr="009A639D" w:rsidRDefault="00EC62B2" w:rsidP="008145E9">
      <w:pPr>
        <w:ind w:left="567" w:hanging="567"/>
        <w:rPr>
          <w:sz w:val="20"/>
          <w:szCs w:val="20"/>
          <w:lang w:val="en-US"/>
        </w:rPr>
      </w:pPr>
    </w:p>
    <w:p w14:paraId="7FABE275" w14:textId="422E67C0" w:rsidR="00E43197" w:rsidRPr="009A639D" w:rsidRDefault="00813A0B" w:rsidP="008145E9">
      <w:pPr>
        <w:pStyle w:val="Heading3"/>
        <w:numPr>
          <w:ilvl w:val="0"/>
          <w:numId w:val="15"/>
        </w:numPr>
        <w:ind w:left="567" w:hanging="567"/>
        <w:rPr>
          <w:color w:val="000000" w:themeColor="text1"/>
          <w:lang w:val="en-US"/>
        </w:rPr>
      </w:pPr>
      <w:r>
        <w:rPr>
          <w:color w:val="000000" w:themeColor="text1"/>
          <w:lang w:val="en-US"/>
        </w:rPr>
        <w:t>Review and Approval</w:t>
      </w:r>
    </w:p>
    <w:tbl>
      <w:tblPr>
        <w:tblW w:w="10773" w:type="dxa"/>
        <w:tblInd w:w="-5" w:type="dxa"/>
        <w:tblBorders>
          <w:top w:val="single" w:sz="4" w:space="0" w:color="999999"/>
          <w:left w:val="single" w:sz="4" w:space="0" w:color="999999"/>
          <w:bottom w:val="single" w:sz="4" w:space="0" w:color="999999"/>
          <w:right w:val="single" w:sz="4" w:space="0" w:color="999999"/>
        </w:tblBorders>
        <w:tblLook w:val="04A0" w:firstRow="1" w:lastRow="0" w:firstColumn="1" w:lastColumn="0" w:noHBand="0" w:noVBand="1"/>
      </w:tblPr>
      <w:tblGrid>
        <w:gridCol w:w="2977"/>
        <w:gridCol w:w="3827"/>
        <w:gridCol w:w="1843"/>
        <w:gridCol w:w="2126"/>
      </w:tblGrid>
      <w:tr w:rsidR="00813A0B" w:rsidRPr="009A639D" w14:paraId="63BF7607" w14:textId="77777777" w:rsidTr="004E7130">
        <w:tc>
          <w:tcPr>
            <w:tcW w:w="2977" w:type="dxa"/>
            <w:tcBorders>
              <w:top w:val="single" w:sz="4" w:space="0" w:color="999999"/>
              <w:left w:val="single" w:sz="4" w:space="0" w:color="999999"/>
              <w:bottom w:val="single" w:sz="4" w:space="0" w:color="999999"/>
              <w:right w:val="single" w:sz="4" w:space="0" w:color="999999"/>
            </w:tcBorders>
            <w:hideMark/>
          </w:tcPr>
          <w:p w14:paraId="072DA005" w14:textId="77777777" w:rsidR="00813A0B" w:rsidRPr="009A639D" w:rsidRDefault="00813A0B" w:rsidP="00E505C8">
            <w:pPr>
              <w:rPr>
                <w:rFonts w:eastAsia="Times New Roman" w:cs="Times New Roman"/>
                <w:b/>
                <w:sz w:val="20"/>
                <w:szCs w:val="20"/>
              </w:rPr>
            </w:pPr>
            <w:r w:rsidRPr="009A639D">
              <w:rPr>
                <w:rFonts w:eastAsia="Times New Roman" w:cs="Times New Roman"/>
                <w:b/>
                <w:sz w:val="20"/>
                <w:szCs w:val="20"/>
              </w:rPr>
              <w:t>Business Process Owner</w:t>
            </w:r>
          </w:p>
        </w:tc>
        <w:tc>
          <w:tcPr>
            <w:tcW w:w="7796" w:type="dxa"/>
            <w:gridSpan w:val="3"/>
            <w:tcBorders>
              <w:top w:val="single" w:sz="4" w:space="0" w:color="999999"/>
              <w:left w:val="single" w:sz="4" w:space="0" w:color="999999"/>
              <w:bottom w:val="single" w:sz="4" w:space="0" w:color="999999"/>
              <w:right w:val="single" w:sz="4" w:space="0" w:color="999999"/>
            </w:tcBorders>
          </w:tcPr>
          <w:p w14:paraId="1DEE8DB7" w14:textId="2046AFF3" w:rsidR="00813A0B" w:rsidRPr="009A639D" w:rsidRDefault="0000493B" w:rsidP="00E505C8">
            <w:pPr>
              <w:rPr>
                <w:rFonts w:eastAsia="Times New Roman" w:cs="Times New Roman"/>
                <w:sz w:val="20"/>
                <w:szCs w:val="20"/>
              </w:rPr>
            </w:pPr>
            <w:r>
              <w:rPr>
                <w:rFonts w:eastAsia="Times New Roman" w:cs="Times New Roman"/>
                <w:sz w:val="20"/>
                <w:szCs w:val="20"/>
              </w:rPr>
              <w:t>Student Connect Manager, Student Success</w:t>
            </w:r>
          </w:p>
        </w:tc>
      </w:tr>
      <w:tr w:rsidR="005135D7" w:rsidRPr="009A639D" w14:paraId="1401EF10" w14:textId="77777777" w:rsidTr="004E7130">
        <w:tc>
          <w:tcPr>
            <w:tcW w:w="2977" w:type="dxa"/>
            <w:tcBorders>
              <w:top w:val="single" w:sz="4" w:space="0" w:color="999999"/>
              <w:left w:val="single" w:sz="4" w:space="0" w:color="999999"/>
              <w:bottom w:val="single" w:sz="4" w:space="0" w:color="999999"/>
              <w:right w:val="single" w:sz="4" w:space="0" w:color="999999"/>
            </w:tcBorders>
          </w:tcPr>
          <w:p w14:paraId="431FCE7F" w14:textId="77777777" w:rsidR="005135D7" w:rsidRPr="009A639D" w:rsidRDefault="005135D7" w:rsidP="005135D7">
            <w:pPr>
              <w:rPr>
                <w:rFonts w:eastAsia="Times New Roman" w:cs="Times New Roman"/>
                <w:b/>
                <w:sz w:val="20"/>
                <w:szCs w:val="20"/>
              </w:rPr>
            </w:pPr>
            <w:r w:rsidRPr="009A639D">
              <w:rPr>
                <w:rFonts w:eastAsia="Times New Roman" w:cs="Times New Roman"/>
                <w:b/>
                <w:sz w:val="20"/>
                <w:szCs w:val="20"/>
              </w:rPr>
              <w:t>Endorsed by (if applicable)</w:t>
            </w:r>
          </w:p>
        </w:tc>
        <w:tc>
          <w:tcPr>
            <w:tcW w:w="3827" w:type="dxa"/>
            <w:tcBorders>
              <w:top w:val="single" w:sz="4" w:space="0" w:color="999999"/>
              <w:left w:val="single" w:sz="4" w:space="0" w:color="999999"/>
              <w:bottom w:val="single" w:sz="4" w:space="0" w:color="999999"/>
              <w:right w:val="single" w:sz="4" w:space="0" w:color="999999"/>
            </w:tcBorders>
          </w:tcPr>
          <w:p w14:paraId="1A971B8E" w14:textId="63121375" w:rsidR="005135D7" w:rsidRPr="009A639D" w:rsidRDefault="009E5E2A" w:rsidP="005135D7">
            <w:pPr>
              <w:rPr>
                <w:rFonts w:eastAsia="Times New Roman" w:cs="Arial"/>
                <w:sz w:val="20"/>
                <w:szCs w:val="20"/>
              </w:rPr>
            </w:pPr>
            <w:r>
              <w:rPr>
                <w:rFonts w:eastAsia="Times New Roman" w:cs="Arial"/>
                <w:sz w:val="20"/>
                <w:szCs w:val="20"/>
              </w:rPr>
              <w:t>Not applicable</w:t>
            </w:r>
          </w:p>
        </w:tc>
        <w:tc>
          <w:tcPr>
            <w:tcW w:w="1843" w:type="dxa"/>
            <w:tcBorders>
              <w:top w:val="single" w:sz="4" w:space="0" w:color="999999"/>
              <w:left w:val="single" w:sz="4" w:space="0" w:color="999999"/>
              <w:bottom w:val="single" w:sz="4" w:space="0" w:color="999999"/>
              <w:right w:val="single" w:sz="4" w:space="0" w:color="999999"/>
            </w:tcBorders>
          </w:tcPr>
          <w:p w14:paraId="5BDCCF42" w14:textId="589A7ABE" w:rsidR="005135D7" w:rsidRPr="009A639D" w:rsidRDefault="005135D7" w:rsidP="005135D7">
            <w:pPr>
              <w:rPr>
                <w:rFonts w:eastAsia="Times New Roman" w:cs="Arial"/>
                <w:sz w:val="20"/>
                <w:szCs w:val="20"/>
              </w:rPr>
            </w:pPr>
            <w:r>
              <w:rPr>
                <w:rFonts w:eastAsia="Times New Roman" w:cs="Times New Roman"/>
                <w:b/>
                <w:sz w:val="20"/>
                <w:szCs w:val="20"/>
              </w:rPr>
              <w:t>Endorsed</w:t>
            </w:r>
            <w:r w:rsidRPr="009A639D">
              <w:rPr>
                <w:rFonts w:eastAsia="Times New Roman" w:cs="Times New Roman"/>
                <w:b/>
                <w:sz w:val="20"/>
                <w:szCs w:val="20"/>
              </w:rPr>
              <w:t xml:space="preserve"> Date</w:t>
            </w:r>
          </w:p>
        </w:tc>
        <w:tc>
          <w:tcPr>
            <w:tcW w:w="2126" w:type="dxa"/>
            <w:tcBorders>
              <w:top w:val="single" w:sz="4" w:space="0" w:color="999999"/>
              <w:left w:val="single" w:sz="4" w:space="0" w:color="999999"/>
              <w:bottom w:val="single" w:sz="4" w:space="0" w:color="999999"/>
              <w:right w:val="single" w:sz="4" w:space="0" w:color="999999"/>
            </w:tcBorders>
          </w:tcPr>
          <w:p w14:paraId="3641C3D1" w14:textId="44846DDC" w:rsidR="005135D7" w:rsidRPr="009A639D" w:rsidRDefault="005135D7" w:rsidP="005135D7">
            <w:pPr>
              <w:rPr>
                <w:rFonts w:eastAsia="Times New Roman" w:cs="Arial"/>
                <w:sz w:val="20"/>
                <w:szCs w:val="20"/>
              </w:rPr>
            </w:pPr>
          </w:p>
        </w:tc>
      </w:tr>
      <w:tr w:rsidR="005135D7" w:rsidRPr="009A639D" w14:paraId="2169B811" w14:textId="77777777" w:rsidTr="004E7130">
        <w:tc>
          <w:tcPr>
            <w:tcW w:w="2977" w:type="dxa"/>
            <w:tcBorders>
              <w:top w:val="single" w:sz="4" w:space="0" w:color="999999"/>
              <w:left w:val="single" w:sz="4" w:space="0" w:color="999999"/>
              <w:bottom w:val="single" w:sz="4" w:space="0" w:color="999999"/>
              <w:right w:val="single" w:sz="4" w:space="0" w:color="999999"/>
            </w:tcBorders>
          </w:tcPr>
          <w:p w14:paraId="293CECE4" w14:textId="77777777" w:rsidR="005135D7" w:rsidRPr="009A639D" w:rsidRDefault="005135D7" w:rsidP="005135D7">
            <w:pPr>
              <w:rPr>
                <w:rFonts w:eastAsia="Times New Roman" w:cs="Times New Roman"/>
                <w:b/>
                <w:sz w:val="20"/>
                <w:szCs w:val="20"/>
              </w:rPr>
            </w:pPr>
            <w:r w:rsidRPr="009A639D">
              <w:rPr>
                <w:rFonts w:eastAsia="Times New Roman" w:cs="Times New Roman"/>
                <w:b/>
                <w:sz w:val="20"/>
                <w:szCs w:val="20"/>
              </w:rPr>
              <w:t>Approved by (if applicable)</w:t>
            </w:r>
          </w:p>
        </w:tc>
        <w:tc>
          <w:tcPr>
            <w:tcW w:w="3827" w:type="dxa"/>
            <w:tcBorders>
              <w:top w:val="single" w:sz="4" w:space="0" w:color="999999"/>
              <w:left w:val="single" w:sz="4" w:space="0" w:color="999999"/>
              <w:bottom w:val="single" w:sz="4" w:space="0" w:color="999999"/>
              <w:right w:val="single" w:sz="4" w:space="0" w:color="999999"/>
            </w:tcBorders>
          </w:tcPr>
          <w:p w14:paraId="2158A386" w14:textId="4903C2D1" w:rsidR="005135D7" w:rsidRPr="009A639D" w:rsidRDefault="009E5E2A" w:rsidP="005135D7">
            <w:pPr>
              <w:rPr>
                <w:rFonts w:eastAsia="Times New Roman" w:cs="Arial"/>
                <w:sz w:val="20"/>
                <w:szCs w:val="20"/>
              </w:rPr>
            </w:pPr>
            <w:r>
              <w:rPr>
                <w:rFonts w:eastAsia="Times New Roman" w:cs="Arial"/>
                <w:sz w:val="20"/>
                <w:szCs w:val="20"/>
              </w:rPr>
              <w:t>Not applicable</w:t>
            </w:r>
          </w:p>
        </w:tc>
        <w:tc>
          <w:tcPr>
            <w:tcW w:w="1843" w:type="dxa"/>
            <w:tcBorders>
              <w:top w:val="single" w:sz="4" w:space="0" w:color="999999"/>
              <w:left w:val="single" w:sz="4" w:space="0" w:color="999999"/>
              <w:bottom w:val="single" w:sz="4" w:space="0" w:color="999999"/>
              <w:right w:val="single" w:sz="4" w:space="0" w:color="999999"/>
            </w:tcBorders>
          </w:tcPr>
          <w:p w14:paraId="60860419" w14:textId="77777777" w:rsidR="005135D7" w:rsidRPr="009A639D" w:rsidRDefault="005135D7" w:rsidP="005135D7">
            <w:pPr>
              <w:rPr>
                <w:rFonts w:eastAsia="Times New Roman" w:cs="Arial"/>
                <w:sz w:val="20"/>
                <w:szCs w:val="20"/>
              </w:rPr>
            </w:pPr>
            <w:r w:rsidRPr="009A639D">
              <w:rPr>
                <w:rFonts w:eastAsia="Times New Roman" w:cs="Times New Roman"/>
                <w:b/>
                <w:sz w:val="20"/>
                <w:szCs w:val="20"/>
              </w:rPr>
              <w:t>Approved Date</w:t>
            </w:r>
          </w:p>
        </w:tc>
        <w:tc>
          <w:tcPr>
            <w:tcW w:w="2126" w:type="dxa"/>
            <w:tcBorders>
              <w:top w:val="single" w:sz="4" w:space="0" w:color="999999"/>
              <w:left w:val="single" w:sz="4" w:space="0" w:color="999999"/>
              <w:bottom w:val="single" w:sz="4" w:space="0" w:color="999999"/>
              <w:right w:val="single" w:sz="4" w:space="0" w:color="999999"/>
            </w:tcBorders>
          </w:tcPr>
          <w:p w14:paraId="10582AAC" w14:textId="7B66FAED" w:rsidR="005135D7" w:rsidRPr="009A639D" w:rsidRDefault="0000493B" w:rsidP="005135D7">
            <w:pPr>
              <w:rPr>
                <w:rFonts w:eastAsia="Times New Roman" w:cs="Arial"/>
                <w:sz w:val="20"/>
                <w:szCs w:val="20"/>
              </w:rPr>
            </w:pPr>
            <w:r>
              <w:rPr>
                <w:rFonts w:eastAsia="Times New Roman" w:cs="Arial"/>
                <w:sz w:val="20"/>
                <w:szCs w:val="20"/>
              </w:rPr>
              <w:t>11 December 2024</w:t>
            </w:r>
          </w:p>
        </w:tc>
      </w:tr>
      <w:tr w:rsidR="005135D7" w:rsidRPr="009A639D" w14:paraId="6057CCEF" w14:textId="77777777" w:rsidTr="004E7130">
        <w:tc>
          <w:tcPr>
            <w:tcW w:w="2977" w:type="dxa"/>
            <w:tcBorders>
              <w:top w:val="single" w:sz="4" w:space="0" w:color="999999"/>
              <w:left w:val="single" w:sz="4" w:space="0" w:color="999999"/>
              <w:bottom w:val="single" w:sz="4" w:space="0" w:color="999999"/>
              <w:right w:val="single" w:sz="4" w:space="0" w:color="999999"/>
            </w:tcBorders>
            <w:vAlign w:val="center"/>
          </w:tcPr>
          <w:p w14:paraId="6FC724C3" w14:textId="77777777" w:rsidR="005135D7" w:rsidRPr="009A639D" w:rsidRDefault="005135D7" w:rsidP="005135D7">
            <w:pPr>
              <w:rPr>
                <w:rFonts w:eastAsia="Times New Roman" w:cs="Times New Roman"/>
                <w:b/>
                <w:sz w:val="20"/>
                <w:szCs w:val="20"/>
              </w:rPr>
            </w:pPr>
            <w:r w:rsidRPr="009A639D">
              <w:rPr>
                <w:rFonts w:eastAsia="Times New Roman" w:cs="Times New Roman"/>
                <w:b/>
                <w:sz w:val="20"/>
                <w:szCs w:val="20"/>
              </w:rPr>
              <w:t>Review schedule</w:t>
            </w:r>
          </w:p>
        </w:tc>
        <w:tc>
          <w:tcPr>
            <w:tcW w:w="7796" w:type="dxa"/>
            <w:gridSpan w:val="3"/>
            <w:tcBorders>
              <w:top w:val="single" w:sz="4" w:space="0" w:color="999999"/>
              <w:left w:val="single" w:sz="4" w:space="0" w:color="999999"/>
              <w:bottom w:val="single" w:sz="4" w:space="0" w:color="999999"/>
              <w:right w:val="single" w:sz="4" w:space="0" w:color="999999"/>
            </w:tcBorders>
          </w:tcPr>
          <w:p w14:paraId="45DA3CB5" w14:textId="30204528" w:rsidR="005135D7" w:rsidRPr="009A639D" w:rsidRDefault="005135D7" w:rsidP="005135D7">
            <w:pPr>
              <w:rPr>
                <w:rFonts w:eastAsia="Times New Roman" w:cs="Arial"/>
                <w:sz w:val="20"/>
                <w:szCs w:val="20"/>
              </w:rPr>
            </w:pPr>
            <w:r w:rsidRPr="009A639D">
              <w:rPr>
                <w:sz w:val="20"/>
                <w:szCs w:val="20"/>
              </w:rPr>
              <w:t xml:space="preserve">This policy will be reviewed every </w:t>
            </w:r>
            <w:r w:rsidR="0000493B">
              <w:rPr>
                <w:sz w:val="20"/>
                <w:szCs w:val="20"/>
              </w:rPr>
              <w:t>3</w:t>
            </w:r>
            <w:r w:rsidRPr="009A639D">
              <w:rPr>
                <w:sz w:val="20"/>
                <w:szCs w:val="20"/>
              </w:rPr>
              <w:t xml:space="preserve"> years (or earlier as required)</w:t>
            </w:r>
          </w:p>
        </w:tc>
      </w:tr>
      <w:tr w:rsidR="005135D7" w:rsidRPr="009A639D" w14:paraId="7F971AEA" w14:textId="77777777" w:rsidTr="004E7130">
        <w:tc>
          <w:tcPr>
            <w:tcW w:w="2977" w:type="dxa"/>
            <w:tcBorders>
              <w:top w:val="single" w:sz="4" w:space="0" w:color="999999"/>
              <w:left w:val="single" w:sz="4" w:space="0" w:color="999999"/>
              <w:bottom w:val="single" w:sz="4" w:space="0" w:color="999999"/>
              <w:right w:val="single" w:sz="4" w:space="0" w:color="999999"/>
            </w:tcBorders>
            <w:vAlign w:val="center"/>
          </w:tcPr>
          <w:p w14:paraId="02E9ED3D" w14:textId="66E2FD03" w:rsidR="005135D7" w:rsidRPr="009A639D" w:rsidRDefault="005135D7" w:rsidP="005135D7">
            <w:pPr>
              <w:rPr>
                <w:rFonts w:eastAsia="Times New Roman" w:cs="Times New Roman"/>
                <w:b/>
                <w:sz w:val="20"/>
                <w:szCs w:val="20"/>
              </w:rPr>
            </w:pPr>
            <w:r>
              <w:rPr>
                <w:rFonts w:eastAsia="Times New Roman" w:cs="Times New Roman"/>
                <w:b/>
                <w:sz w:val="20"/>
                <w:szCs w:val="20"/>
              </w:rPr>
              <w:t>Date of next review</w:t>
            </w:r>
          </w:p>
        </w:tc>
        <w:tc>
          <w:tcPr>
            <w:tcW w:w="7796" w:type="dxa"/>
            <w:gridSpan w:val="3"/>
            <w:tcBorders>
              <w:top w:val="single" w:sz="4" w:space="0" w:color="999999"/>
              <w:left w:val="single" w:sz="4" w:space="0" w:color="999999"/>
              <w:bottom w:val="single" w:sz="4" w:space="0" w:color="999999"/>
              <w:right w:val="single" w:sz="4" w:space="0" w:color="999999"/>
            </w:tcBorders>
          </w:tcPr>
          <w:p w14:paraId="633EE9AA" w14:textId="018E8601" w:rsidR="005135D7" w:rsidRPr="009A639D" w:rsidRDefault="0000493B" w:rsidP="005135D7">
            <w:pPr>
              <w:rPr>
                <w:sz w:val="20"/>
                <w:szCs w:val="20"/>
              </w:rPr>
            </w:pPr>
            <w:r>
              <w:rPr>
                <w:sz w:val="20"/>
                <w:szCs w:val="20"/>
              </w:rPr>
              <w:t>11 December 2027</w:t>
            </w:r>
          </w:p>
        </w:tc>
      </w:tr>
    </w:tbl>
    <w:p w14:paraId="235DDD38" w14:textId="51C919F1" w:rsidR="00F94FB7" w:rsidRDefault="00F94FB7"/>
    <w:tbl>
      <w:tblPr>
        <w:tblW w:w="10773" w:type="dxa"/>
        <w:tblInd w:w="-5" w:type="dxa"/>
        <w:tblBorders>
          <w:top w:val="single" w:sz="4" w:space="0" w:color="999999"/>
          <w:left w:val="single" w:sz="4" w:space="0" w:color="999999"/>
          <w:bottom w:val="single" w:sz="4" w:space="0" w:color="999999"/>
          <w:right w:val="single" w:sz="4" w:space="0" w:color="999999"/>
        </w:tblBorders>
        <w:tblLook w:val="04A0" w:firstRow="1" w:lastRow="0" w:firstColumn="1" w:lastColumn="0" w:noHBand="0" w:noVBand="1"/>
      </w:tblPr>
      <w:tblGrid>
        <w:gridCol w:w="2977"/>
        <w:gridCol w:w="1985"/>
        <w:gridCol w:w="5811"/>
      </w:tblGrid>
      <w:tr w:rsidR="002A5AAE" w:rsidRPr="009A639D" w14:paraId="72E2E5E6" w14:textId="77777777" w:rsidTr="004E7130">
        <w:tc>
          <w:tcPr>
            <w:tcW w:w="2977" w:type="dxa"/>
            <w:tcBorders>
              <w:top w:val="single" w:sz="4" w:space="0" w:color="999999"/>
              <w:left w:val="single" w:sz="4" w:space="0" w:color="999999"/>
              <w:bottom w:val="single" w:sz="4" w:space="0" w:color="999999"/>
              <w:right w:val="single" w:sz="4" w:space="0" w:color="999999"/>
            </w:tcBorders>
            <w:vAlign w:val="center"/>
          </w:tcPr>
          <w:p w14:paraId="17A995D4" w14:textId="37B93F35" w:rsidR="002A5AAE" w:rsidRPr="009A639D" w:rsidRDefault="00930C9A" w:rsidP="00E53092">
            <w:pPr>
              <w:rPr>
                <w:rFonts w:eastAsia="Times New Roman" w:cs="Times New Roman"/>
                <w:b/>
                <w:sz w:val="20"/>
                <w:szCs w:val="20"/>
              </w:rPr>
            </w:pPr>
            <w:r>
              <w:rPr>
                <w:rFonts w:eastAsia="Times New Roman" w:cs="Times New Roman"/>
                <w:b/>
                <w:sz w:val="20"/>
                <w:szCs w:val="20"/>
              </w:rPr>
              <w:t xml:space="preserve">Minor </w:t>
            </w:r>
            <w:r w:rsidR="002A5AAE">
              <w:rPr>
                <w:rFonts w:eastAsia="Times New Roman" w:cs="Times New Roman"/>
                <w:b/>
                <w:sz w:val="20"/>
                <w:szCs w:val="20"/>
              </w:rPr>
              <w:t>Structure changes outside of Review schedule</w:t>
            </w:r>
          </w:p>
        </w:tc>
        <w:tc>
          <w:tcPr>
            <w:tcW w:w="1985" w:type="dxa"/>
            <w:tcBorders>
              <w:top w:val="single" w:sz="4" w:space="0" w:color="999999"/>
              <w:left w:val="single" w:sz="4" w:space="0" w:color="999999"/>
              <w:bottom w:val="single" w:sz="4" w:space="0" w:color="999999"/>
              <w:right w:val="single" w:sz="4" w:space="0" w:color="999999"/>
            </w:tcBorders>
          </w:tcPr>
          <w:p w14:paraId="5FE5A255" w14:textId="186B9642" w:rsidR="002A5AAE" w:rsidRPr="009A639D" w:rsidRDefault="002A5AAE" w:rsidP="00E53092">
            <w:pPr>
              <w:rPr>
                <w:sz w:val="20"/>
                <w:szCs w:val="20"/>
              </w:rPr>
            </w:pPr>
          </w:p>
        </w:tc>
        <w:tc>
          <w:tcPr>
            <w:tcW w:w="5811" w:type="dxa"/>
            <w:tcBorders>
              <w:top w:val="single" w:sz="4" w:space="0" w:color="999999"/>
              <w:left w:val="single" w:sz="4" w:space="0" w:color="999999"/>
              <w:bottom w:val="single" w:sz="4" w:space="0" w:color="999999"/>
              <w:right w:val="single" w:sz="4" w:space="0" w:color="999999"/>
            </w:tcBorders>
          </w:tcPr>
          <w:p w14:paraId="07917930" w14:textId="059AA2FE" w:rsidR="002A5AAE" w:rsidRPr="009A639D" w:rsidRDefault="002A5AAE" w:rsidP="00E53092">
            <w:pPr>
              <w:rPr>
                <w:sz w:val="20"/>
                <w:szCs w:val="20"/>
              </w:rPr>
            </w:pPr>
          </w:p>
        </w:tc>
      </w:tr>
    </w:tbl>
    <w:p w14:paraId="2AF51815" w14:textId="77777777" w:rsidR="002A5AAE" w:rsidRPr="009A639D" w:rsidRDefault="002A5AAE"/>
    <w:sectPr w:rsidR="002A5AAE" w:rsidRPr="009A639D" w:rsidSect="008C318A">
      <w:headerReference w:type="default" r:id="rId18"/>
      <w:footerReference w:type="default" r:id="rId19"/>
      <w:pgSz w:w="11906" w:h="16838" w:code="9"/>
      <w:pgMar w:top="142" w:right="567" w:bottom="1701" w:left="567" w:header="136" w:footer="7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36371" w14:textId="77777777" w:rsidR="00464077" w:rsidRDefault="00464077" w:rsidP="00855C9F">
      <w:r>
        <w:separator/>
      </w:r>
    </w:p>
  </w:endnote>
  <w:endnote w:type="continuationSeparator" w:id="0">
    <w:p w14:paraId="60D418EB" w14:textId="77777777" w:rsidR="00464077" w:rsidRDefault="00464077" w:rsidP="008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E32D" w14:textId="77777777" w:rsidR="0000493B" w:rsidRDefault="00004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AC00" w14:textId="75141D08" w:rsidR="00786707" w:rsidRDefault="008C318A" w:rsidP="00786707">
    <w:pPr>
      <w:pStyle w:val="Footer"/>
      <w:jc w:val="right"/>
      <w:rPr>
        <w:b/>
        <w:color w:val="FFFFFF" w:themeColor="background1"/>
        <w:sz w:val="20"/>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0" layoutInCell="1" allowOverlap="1" wp14:anchorId="31EC7010" wp14:editId="69CA1F85">
              <wp:simplePos x="0" y="0"/>
              <wp:positionH relativeFrom="column">
                <wp:posOffset>5636895</wp:posOffset>
              </wp:positionH>
              <wp:positionV relativeFrom="paragraph">
                <wp:posOffset>138430</wp:posOffset>
              </wp:positionV>
              <wp:extent cx="1295400" cy="4476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5400" cy="447675"/>
                      </a:xfrm>
                      <a:prstGeom prst="rect">
                        <a:avLst/>
                      </a:prstGeom>
                      <a:noFill/>
                      <a:ln w="6350">
                        <a:noFill/>
                      </a:ln>
                    </wps:spPr>
                    <wps:txbx>
                      <w:txbxContent>
                        <w:p w14:paraId="1AEF6F5C" w14:textId="6E08876C" w:rsidR="0056554C" w:rsidRDefault="0056554C" w:rsidP="0056554C">
                          <w:pPr>
                            <w:pStyle w:val="Footer"/>
                            <w:rPr>
                              <w:b/>
                              <w:color w:val="FFFFFF" w:themeColor="background1"/>
                              <w:sz w:val="18"/>
                              <w:szCs w:val="18"/>
                            </w:rPr>
                          </w:pPr>
                          <w:r>
                            <w:rPr>
                              <w:b/>
                              <w:color w:val="FFFFFF" w:themeColor="background1"/>
                              <w:sz w:val="18"/>
                              <w:szCs w:val="18"/>
                            </w:rPr>
                            <w:t>Page</w:t>
                          </w:r>
                          <w:r w:rsidRPr="00786707">
                            <w:rPr>
                              <w:b/>
                              <w:color w:val="FFFFFF" w:themeColor="background1"/>
                              <w:sz w:val="18"/>
                              <w:szCs w:val="18"/>
                            </w:rPr>
                            <w:t xml:space="preserve">: </w:t>
                          </w:r>
                          <w:r w:rsidRPr="00786707">
                            <w:rPr>
                              <w:b/>
                              <w:color w:val="FFFFFF" w:themeColor="background1"/>
                              <w:sz w:val="18"/>
                              <w:szCs w:val="18"/>
                            </w:rPr>
                            <w:fldChar w:fldCharType="begin"/>
                          </w:r>
                          <w:r w:rsidRPr="00786707">
                            <w:rPr>
                              <w:b/>
                              <w:color w:val="FFFFFF" w:themeColor="background1"/>
                              <w:sz w:val="18"/>
                              <w:szCs w:val="18"/>
                            </w:rPr>
                            <w:instrText xml:space="preserve"> PAGE  \* Arabic  \* MERGEFORMAT </w:instrText>
                          </w:r>
                          <w:r w:rsidRPr="00786707">
                            <w:rPr>
                              <w:b/>
                              <w:color w:val="FFFFFF" w:themeColor="background1"/>
                              <w:sz w:val="18"/>
                              <w:szCs w:val="18"/>
                            </w:rPr>
                            <w:fldChar w:fldCharType="separate"/>
                          </w:r>
                          <w:r>
                            <w:rPr>
                              <w:b/>
                              <w:color w:val="FFFFFF" w:themeColor="background1"/>
                              <w:sz w:val="18"/>
                              <w:szCs w:val="18"/>
                            </w:rPr>
                            <w:t>1</w:t>
                          </w:r>
                          <w:r w:rsidRPr="00786707">
                            <w:rPr>
                              <w:b/>
                              <w:color w:val="FFFFFF" w:themeColor="background1"/>
                              <w:sz w:val="18"/>
                              <w:szCs w:val="18"/>
                            </w:rPr>
                            <w:fldChar w:fldCharType="end"/>
                          </w:r>
                          <w:r w:rsidRPr="00786707">
                            <w:rPr>
                              <w:b/>
                              <w:color w:val="FFFFFF" w:themeColor="background1"/>
                              <w:sz w:val="18"/>
                              <w:szCs w:val="18"/>
                            </w:rPr>
                            <w:t xml:space="preserve"> of </w:t>
                          </w:r>
                          <w:r w:rsidRPr="00786707">
                            <w:rPr>
                              <w:b/>
                              <w:color w:val="FFFFFF" w:themeColor="background1"/>
                              <w:sz w:val="18"/>
                              <w:szCs w:val="18"/>
                            </w:rPr>
                            <w:fldChar w:fldCharType="begin"/>
                          </w:r>
                          <w:r w:rsidRPr="00786707">
                            <w:rPr>
                              <w:b/>
                              <w:color w:val="FFFFFF" w:themeColor="background1"/>
                              <w:sz w:val="18"/>
                              <w:szCs w:val="18"/>
                            </w:rPr>
                            <w:instrText xml:space="preserve"> NUMPAGES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p>
                        <w:p w14:paraId="2E1DE557" w14:textId="2B31F120" w:rsidR="0056554C" w:rsidRDefault="0056554C" w:rsidP="0056554C">
                          <w:pPr>
                            <w:pStyle w:val="Footer"/>
                            <w:rPr>
                              <w:b/>
                              <w:color w:val="FFFFFF" w:themeColor="background1"/>
                              <w:sz w:val="18"/>
                              <w:szCs w:val="18"/>
                            </w:rPr>
                          </w:pPr>
                          <w:r>
                            <w:rPr>
                              <w:b/>
                              <w:color w:val="FFFFFF" w:themeColor="background1"/>
                              <w:sz w:val="18"/>
                              <w:szCs w:val="18"/>
                            </w:rPr>
                            <w:t>P</w:t>
                          </w:r>
                          <w:r w:rsidRPr="00786707">
                            <w:rPr>
                              <w:b/>
                              <w:color w:val="FFFFFF" w:themeColor="background1"/>
                              <w:sz w:val="18"/>
                              <w:szCs w:val="18"/>
                            </w:rPr>
                            <w:t xml:space="preserve">rinted: </w:t>
                          </w:r>
                          <w:r w:rsidRPr="00786707">
                            <w:rPr>
                              <w:b/>
                              <w:color w:val="FFFFFF" w:themeColor="background1"/>
                              <w:sz w:val="18"/>
                              <w:szCs w:val="18"/>
                            </w:rPr>
                            <w:fldChar w:fldCharType="begin"/>
                          </w:r>
                          <w:r w:rsidRPr="00786707">
                            <w:rPr>
                              <w:b/>
                              <w:color w:val="FFFFFF" w:themeColor="background1"/>
                              <w:sz w:val="18"/>
                              <w:szCs w:val="18"/>
                            </w:rPr>
                            <w:instrText xml:space="preserve"> DATE   \* MERGEFORMAT </w:instrText>
                          </w:r>
                          <w:r w:rsidRPr="00786707">
                            <w:rPr>
                              <w:b/>
                              <w:color w:val="FFFFFF" w:themeColor="background1"/>
                              <w:sz w:val="18"/>
                              <w:szCs w:val="18"/>
                            </w:rPr>
                            <w:fldChar w:fldCharType="separate"/>
                          </w:r>
                          <w:r w:rsidR="00B6657F">
                            <w:rPr>
                              <w:b/>
                              <w:noProof/>
                              <w:color w:val="FFFFFF" w:themeColor="background1"/>
                              <w:sz w:val="18"/>
                              <w:szCs w:val="18"/>
                            </w:rPr>
                            <w:t>11/12/2024</w:t>
                          </w:r>
                          <w:r w:rsidRPr="00786707">
                            <w:rPr>
                              <w:b/>
                              <w:color w:val="FFFFFF" w:themeColor="background1"/>
                              <w:sz w:val="18"/>
                              <w:szCs w:val="18"/>
                            </w:rPr>
                            <w:fldChar w:fldCharType="end"/>
                          </w:r>
                        </w:p>
                        <w:p w14:paraId="58401978" w14:textId="77777777" w:rsidR="0056554C" w:rsidRDefault="0056554C" w:rsidP="0056554C">
                          <w:pPr>
                            <w:pStyle w:val="Footer"/>
                            <w:rPr>
                              <w:b/>
                              <w:color w:val="FFFFFF" w:themeColor="background1"/>
                              <w:sz w:val="18"/>
                              <w:szCs w:val="18"/>
                            </w:rPr>
                          </w:pPr>
                        </w:p>
                        <w:p w14:paraId="3B59DF29" w14:textId="77777777" w:rsidR="0056554C" w:rsidRPr="00786707" w:rsidRDefault="0056554C" w:rsidP="0056554C">
                          <w:pPr>
                            <w:pStyle w:val="Footer"/>
                            <w:rPr>
                              <w:b/>
                              <w:color w:val="FFFFFF" w:themeColor="background1"/>
                              <w:sz w:val="18"/>
                              <w:szCs w:val="18"/>
                            </w:rPr>
                          </w:pPr>
                        </w:p>
                        <w:p w14:paraId="02F93B61" w14:textId="77777777" w:rsidR="00E62351" w:rsidRDefault="00E62351" w:rsidP="00E623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EC7010" id="_x0000_t202" coordsize="21600,21600" o:spt="202" path="m,l,21600r21600,l21600,xe">
              <v:stroke joinstyle="miter"/>
              <v:path gradientshapeok="t" o:connecttype="rect"/>
            </v:shapetype>
            <v:shape id="Text Box 1" o:spid="_x0000_s1028" type="#_x0000_t202" style="position:absolute;left:0;text-align:left;margin-left:443.85pt;margin-top:10.9pt;width:102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" filled="f" stroked="f" strokeweight=".5pt">
              <v:textbox>
                <w:txbxContent>
                  <w:p w14:paraId="1AEF6F5C" w14:textId="6E08876C" w:rsidR="0056554C" w:rsidRDefault="0056554C" w:rsidP="0056554C">
                    <w:pPr>
                      <w:pStyle w:val="Footer"/>
                      <w:rPr>
                        <w:b/>
                        <w:color w:val="FFFFFF" w:themeColor="background1"/>
                        <w:sz w:val="18"/>
                        <w:szCs w:val="18"/>
                      </w:rPr>
                    </w:pPr>
                    <w:r>
                      <w:rPr>
                        <w:b/>
                        <w:color w:val="FFFFFF" w:themeColor="background1"/>
                        <w:sz w:val="18"/>
                        <w:szCs w:val="18"/>
                      </w:rPr>
                      <w:t>Page</w:t>
                    </w:r>
                    <w:r w:rsidRPr="00786707">
                      <w:rPr>
                        <w:b/>
                        <w:color w:val="FFFFFF" w:themeColor="background1"/>
                        <w:sz w:val="18"/>
                        <w:szCs w:val="18"/>
                      </w:rPr>
                      <w:t xml:space="preserve">: </w:t>
                    </w:r>
                    <w:r w:rsidRPr="00786707">
                      <w:rPr>
                        <w:b/>
                        <w:color w:val="FFFFFF" w:themeColor="background1"/>
                        <w:sz w:val="18"/>
                        <w:szCs w:val="18"/>
                      </w:rPr>
                      <w:fldChar w:fldCharType="begin"/>
                    </w:r>
                    <w:r w:rsidRPr="00786707">
                      <w:rPr>
                        <w:b/>
                        <w:color w:val="FFFFFF" w:themeColor="background1"/>
                        <w:sz w:val="18"/>
                        <w:szCs w:val="18"/>
                      </w:rPr>
                      <w:instrText xml:space="preserve"> PAGE  \* Arabic  \* MERGEFORMAT </w:instrText>
                    </w:r>
                    <w:r w:rsidRPr="00786707">
                      <w:rPr>
                        <w:b/>
                        <w:color w:val="FFFFFF" w:themeColor="background1"/>
                        <w:sz w:val="18"/>
                        <w:szCs w:val="18"/>
                      </w:rPr>
                      <w:fldChar w:fldCharType="separate"/>
                    </w:r>
                    <w:r>
                      <w:rPr>
                        <w:b/>
                        <w:color w:val="FFFFFF" w:themeColor="background1"/>
                        <w:sz w:val="18"/>
                        <w:szCs w:val="18"/>
                      </w:rPr>
                      <w:t>1</w:t>
                    </w:r>
                    <w:r w:rsidRPr="00786707">
                      <w:rPr>
                        <w:b/>
                        <w:color w:val="FFFFFF" w:themeColor="background1"/>
                        <w:sz w:val="18"/>
                        <w:szCs w:val="18"/>
                      </w:rPr>
                      <w:fldChar w:fldCharType="end"/>
                    </w:r>
                    <w:r w:rsidRPr="00786707">
                      <w:rPr>
                        <w:b/>
                        <w:color w:val="FFFFFF" w:themeColor="background1"/>
                        <w:sz w:val="18"/>
                        <w:szCs w:val="18"/>
                      </w:rPr>
                      <w:t xml:space="preserve"> of </w:t>
                    </w:r>
                    <w:r w:rsidRPr="00786707">
                      <w:rPr>
                        <w:b/>
                        <w:color w:val="FFFFFF" w:themeColor="background1"/>
                        <w:sz w:val="18"/>
                        <w:szCs w:val="18"/>
                      </w:rPr>
                      <w:fldChar w:fldCharType="begin"/>
                    </w:r>
                    <w:r w:rsidRPr="00786707">
                      <w:rPr>
                        <w:b/>
                        <w:color w:val="FFFFFF" w:themeColor="background1"/>
                        <w:sz w:val="18"/>
                        <w:szCs w:val="18"/>
                      </w:rPr>
                      <w:instrText xml:space="preserve"> NUMPAGES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p>
                  <w:p w14:paraId="2E1DE557" w14:textId="2B31F120" w:rsidR="0056554C" w:rsidRDefault="0056554C" w:rsidP="0056554C">
                    <w:pPr>
                      <w:pStyle w:val="Footer"/>
                      <w:rPr>
                        <w:b/>
                        <w:color w:val="FFFFFF" w:themeColor="background1"/>
                        <w:sz w:val="18"/>
                        <w:szCs w:val="18"/>
                      </w:rPr>
                    </w:pPr>
                    <w:r>
                      <w:rPr>
                        <w:b/>
                        <w:color w:val="FFFFFF" w:themeColor="background1"/>
                        <w:sz w:val="18"/>
                        <w:szCs w:val="18"/>
                      </w:rPr>
                      <w:t>P</w:t>
                    </w:r>
                    <w:r w:rsidRPr="00786707">
                      <w:rPr>
                        <w:b/>
                        <w:color w:val="FFFFFF" w:themeColor="background1"/>
                        <w:sz w:val="18"/>
                        <w:szCs w:val="18"/>
                      </w:rPr>
                      <w:t xml:space="preserve">rinted: </w:t>
                    </w:r>
                    <w:r w:rsidRPr="00786707">
                      <w:rPr>
                        <w:b/>
                        <w:color w:val="FFFFFF" w:themeColor="background1"/>
                        <w:sz w:val="18"/>
                        <w:szCs w:val="18"/>
                      </w:rPr>
                      <w:fldChar w:fldCharType="begin"/>
                    </w:r>
                    <w:r w:rsidRPr="00786707">
                      <w:rPr>
                        <w:b/>
                        <w:color w:val="FFFFFF" w:themeColor="background1"/>
                        <w:sz w:val="18"/>
                        <w:szCs w:val="18"/>
                      </w:rPr>
                      <w:instrText xml:space="preserve"> DATE   \* MERGEFORMAT </w:instrText>
                    </w:r>
                    <w:r w:rsidRPr="00786707">
                      <w:rPr>
                        <w:b/>
                        <w:color w:val="FFFFFF" w:themeColor="background1"/>
                        <w:sz w:val="18"/>
                        <w:szCs w:val="18"/>
                      </w:rPr>
                      <w:fldChar w:fldCharType="separate"/>
                    </w:r>
                    <w:r w:rsidR="00B6657F">
                      <w:rPr>
                        <w:b/>
                        <w:noProof/>
                        <w:color w:val="FFFFFF" w:themeColor="background1"/>
                        <w:sz w:val="18"/>
                        <w:szCs w:val="18"/>
                      </w:rPr>
                      <w:t>11/12/2024</w:t>
                    </w:r>
                    <w:r w:rsidRPr="00786707">
                      <w:rPr>
                        <w:b/>
                        <w:color w:val="FFFFFF" w:themeColor="background1"/>
                        <w:sz w:val="18"/>
                        <w:szCs w:val="18"/>
                      </w:rPr>
                      <w:fldChar w:fldCharType="end"/>
                    </w:r>
                  </w:p>
                  <w:p w14:paraId="58401978" w14:textId="77777777" w:rsidR="0056554C" w:rsidRDefault="0056554C" w:rsidP="0056554C">
                    <w:pPr>
                      <w:pStyle w:val="Footer"/>
                      <w:rPr>
                        <w:b/>
                        <w:color w:val="FFFFFF" w:themeColor="background1"/>
                        <w:sz w:val="18"/>
                        <w:szCs w:val="18"/>
                      </w:rPr>
                    </w:pPr>
                  </w:p>
                  <w:p w14:paraId="3B59DF29" w14:textId="77777777" w:rsidR="0056554C" w:rsidRPr="00786707" w:rsidRDefault="0056554C" w:rsidP="0056554C">
                    <w:pPr>
                      <w:pStyle w:val="Footer"/>
                      <w:rPr>
                        <w:b/>
                        <w:color w:val="FFFFFF" w:themeColor="background1"/>
                        <w:sz w:val="18"/>
                        <w:szCs w:val="18"/>
                      </w:rPr>
                    </w:pPr>
                  </w:p>
                  <w:p w14:paraId="02F93B61" w14:textId="77777777" w:rsidR="00E62351" w:rsidRDefault="00E62351" w:rsidP="00E62351">
                    <w:pPr>
                      <w:rPr>
                        <w:sz w:val="18"/>
                        <w:szCs w:val="18"/>
                      </w:rPr>
                    </w:pPr>
                  </w:p>
                </w:txbxContent>
              </v:textbox>
            </v:shape>
          </w:pict>
        </mc:Fallback>
      </mc:AlternateContent>
    </w:r>
  </w:p>
  <w:p w14:paraId="57234F8D" w14:textId="7A965A53" w:rsidR="00BA4990" w:rsidRPr="00786707" w:rsidRDefault="008A11D3">
    <w:pPr>
      <w:pStyle w:val="Footer"/>
      <w:rPr>
        <w:b/>
        <w:color w:val="FFFFFF" w:themeColor="background1"/>
        <w:sz w:val="18"/>
        <w:szCs w:val="18"/>
      </w:rPr>
    </w:pPr>
    <w:r w:rsidRPr="00786707">
      <w:rPr>
        <w:b/>
        <w:noProof/>
        <w:color w:val="FFFFFF" w:themeColor="background1"/>
        <w:sz w:val="18"/>
        <w:szCs w:val="18"/>
        <w:lang w:eastAsia="en-AU"/>
      </w:rPr>
      <w:drawing>
        <wp:anchor distT="0" distB="0" distL="114300" distR="114300" simplePos="0" relativeHeight="251661312" behindDoc="1" locked="1" layoutInCell="1" allowOverlap="1" wp14:anchorId="7DB4BF26" wp14:editId="460B6C18">
          <wp:simplePos x="0" y="0"/>
          <wp:positionH relativeFrom="page">
            <wp:posOffset>0</wp:posOffset>
          </wp:positionH>
          <wp:positionV relativeFrom="page">
            <wp:posOffset>9763125</wp:posOffset>
          </wp:positionV>
          <wp:extent cx="7602855" cy="9309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Foot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602855" cy="930910"/>
                  </a:xfrm>
                  <a:prstGeom prst="rect">
                    <a:avLst/>
                  </a:prstGeom>
                </pic:spPr>
              </pic:pic>
            </a:graphicData>
          </a:graphic>
          <wp14:sizeRelH relativeFrom="margin">
            <wp14:pctWidth>0</wp14:pctWidth>
          </wp14:sizeRelH>
          <wp14:sizeRelV relativeFrom="margin">
            <wp14:pctHeight>0</wp14:pctHeight>
          </wp14:sizeRelV>
        </wp:anchor>
      </w:drawing>
    </w:r>
    <w:r w:rsidR="00BA4990" w:rsidRPr="00786707">
      <w:rPr>
        <w:rFonts w:cs="Arial"/>
        <w:b/>
        <w:color w:val="FFFFFF" w:themeColor="background1"/>
        <w:sz w:val="18"/>
        <w:szCs w:val="18"/>
      </w:rPr>
      <w:t>To ensure copies are current check issue date on Operational Management System</w:t>
    </w:r>
  </w:p>
  <w:p w14:paraId="00AFC931" w14:textId="4CEA3027" w:rsidR="00B4286E" w:rsidRPr="0025105F" w:rsidRDefault="008A11D3" w:rsidP="00136A4B">
    <w:pPr>
      <w:pStyle w:val="Footer"/>
      <w:tabs>
        <w:tab w:val="clear" w:pos="9026"/>
      </w:tabs>
      <w:rPr>
        <w:b/>
        <w:color w:val="FFFFFF" w:themeColor="background1"/>
        <w:sz w:val="18"/>
      </w:rPr>
    </w:pPr>
    <w:r w:rsidRPr="0025105F">
      <w:rPr>
        <w:rFonts w:cs="Arial"/>
        <w:noProof/>
        <w:color w:val="FFFFFF" w:themeColor="background1"/>
        <w:sz w:val="16"/>
        <w:szCs w:val="16"/>
        <w:lang w:eastAsia="en-AU"/>
      </w:rPr>
      <mc:AlternateContent>
        <mc:Choice Requires="wps">
          <w:drawing>
            <wp:anchor distT="0" distB="0" distL="114300" distR="114300" simplePos="0" relativeHeight="251662336" behindDoc="0" locked="0" layoutInCell="0" allowOverlap="1" wp14:anchorId="5D3EF351" wp14:editId="7342F3DC">
              <wp:simplePos x="0" y="0"/>
              <wp:positionH relativeFrom="page">
                <wp:posOffset>0</wp:posOffset>
              </wp:positionH>
              <wp:positionV relativeFrom="page">
                <wp:posOffset>10240645</wp:posOffset>
              </wp:positionV>
              <wp:extent cx="7560310" cy="260350"/>
              <wp:effectExtent l="0" t="0" r="0" b="6350"/>
              <wp:wrapNone/>
              <wp:docPr id="141" name="MSIPCMcc514d7d892e37268a5c6433" descr="{&quot;HashCode&quot;:-13911164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ADD1E"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D3EF351" id="MSIPCMcc514d7d892e37268a5c6433" o:spid="_x0000_s1029" type="#_x0000_t202" alt="{&quot;HashCode&quot;:-1391116470,&quot;Height&quot;:841.0,&quot;Width&quot;:595.0,&quot;Placement&quot;:&quot;Footer&quot;,&quot;Index&quot;:&quot;Primary&quot;,&quot;Section&quot;:1,&quot;Top&quot;:0.0,&quot;Left&quot;:0.0}" style="position:absolute;margin-left:0;margin-top:806.35pt;width:595.3pt;height:20.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" o:allowincell="f" filled="f" stroked="f" strokeweight=".5pt">
              <v:textbox inset=",0,,0">
                <w:txbxContent>
                  <w:p w14:paraId="2F7ADD1E"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00B4286E" w:rsidRPr="0025105F">
      <w:rPr>
        <w:rFonts w:cs="Arial"/>
        <w:color w:val="FFFFFF" w:themeColor="background1"/>
        <w:sz w:val="16"/>
        <w:szCs w:val="16"/>
      </w:rPr>
      <w:t>(ABN 27 241 053 246   RTO 3044   CRICOS 00011G)</w:t>
    </w:r>
    <w:r w:rsidR="00136A4B">
      <w:rPr>
        <w:rFonts w:cs="Arial"/>
        <w:color w:val="FFFFFF" w:themeColor="background1"/>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E3EC" w14:textId="77777777" w:rsidR="0000493B" w:rsidRDefault="000049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D2251" w14:textId="5015F541" w:rsidR="000D2FE3" w:rsidRDefault="0056554C" w:rsidP="00786707">
    <w:pPr>
      <w:pStyle w:val="Footer"/>
      <w:jc w:val="right"/>
      <w:rPr>
        <w:b/>
        <w:color w:val="FFFFFF" w:themeColor="background1"/>
        <w:sz w:val="20"/>
      </w:rPr>
    </w:pPr>
    <w:r>
      <w:rPr>
        <w:rFonts w:ascii="Times New Roman" w:hAnsi="Times New Roman" w:cs="Times New Roman"/>
        <w:noProof/>
        <w:sz w:val="24"/>
        <w:szCs w:val="24"/>
        <w:lang w:eastAsia="en-AU"/>
      </w:rPr>
      <mc:AlternateContent>
        <mc:Choice Requires="wps">
          <w:drawing>
            <wp:anchor distT="0" distB="0" distL="114300" distR="114300" simplePos="0" relativeHeight="251678720" behindDoc="0" locked="0" layoutInCell="1" allowOverlap="1" wp14:anchorId="4A4F8A1C" wp14:editId="28BBF7D2">
              <wp:simplePos x="0" y="0"/>
              <wp:positionH relativeFrom="column">
                <wp:posOffset>5610225</wp:posOffset>
              </wp:positionH>
              <wp:positionV relativeFrom="paragraph">
                <wp:posOffset>127000</wp:posOffset>
              </wp:positionV>
              <wp:extent cx="1295400" cy="4476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95400" cy="447675"/>
                      </a:xfrm>
                      <a:prstGeom prst="rect">
                        <a:avLst/>
                      </a:prstGeom>
                      <a:noFill/>
                      <a:ln w="6350">
                        <a:noFill/>
                      </a:ln>
                    </wps:spPr>
                    <wps:txbx>
                      <w:txbxContent>
                        <w:p w14:paraId="58871496" w14:textId="77777777" w:rsidR="0056554C" w:rsidRDefault="0056554C" w:rsidP="0056554C">
                          <w:pPr>
                            <w:pStyle w:val="Footer"/>
                            <w:rPr>
                              <w:b/>
                              <w:color w:val="FFFFFF" w:themeColor="background1"/>
                              <w:sz w:val="18"/>
                              <w:szCs w:val="18"/>
                            </w:rPr>
                          </w:pPr>
                          <w:r>
                            <w:rPr>
                              <w:b/>
                              <w:color w:val="FFFFFF" w:themeColor="background1"/>
                              <w:sz w:val="18"/>
                              <w:szCs w:val="18"/>
                            </w:rPr>
                            <w:t>Page</w:t>
                          </w:r>
                          <w:r w:rsidRPr="00786707">
                            <w:rPr>
                              <w:b/>
                              <w:color w:val="FFFFFF" w:themeColor="background1"/>
                              <w:sz w:val="18"/>
                              <w:szCs w:val="18"/>
                            </w:rPr>
                            <w:t xml:space="preserve">: </w:t>
                          </w:r>
                          <w:r w:rsidRPr="00786707">
                            <w:rPr>
                              <w:b/>
                              <w:color w:val="FFFFFF" w:themeColor="background1"/>
                              <w:sz w:val="18"/>
                              <w:szCs w:val="18"/>
                            </w:rPr>
                            <w:fldChar w:fldCharType="begin"/>
                          </w:r>
                          <w:r w:rsidRPr="00786707">
                            <w:rPr>
                              <w:b/>
                              <w:color w:val="FFFFFF" w:themeColor="background1"/>
                              <w:sz w:val="18"/>
                              <w:szCs w:val="18"/>
                            </w:rPr>
                            <w:instrText xml:space="preserve"> PAGE  \* Arabic  \* MERGEFORMAT </w:instrText>
                          </w:r>
                          <w:r w:rsidRPr="00786707">
                            <w:rPr>
                              <w:b/>
                              <w:color w:val="FFFFFF" w:themeColor="background1"/>
                              <w:sz w:val="18"/>
                              <w:szCs w:val="18"/>
                            </w:rPr>
                            <w:fldChar w:fldCharType="separate"/>
                          </w:r>
                          <w:r>
                            <w:rPr>
                              <w:b/>
                              <w:color w:val="FFFFFF" w:themeColor="background1"/>
                              <w:sz w:val="18"/>
                              <w:szCs w:val="18"/>
                            </w:rPr>
                            <w:t>1</w:t>
                          </w:r>
                          <w:r w:rsidRPr="00786707">
                            <w:rPr>
                              <w:b/>
                              <w:color w:val="FFFFFF" w:themeColor="background1"/>
                              <w:sz w:val="18"/>
                              <w:szCs w:val="18"/>
                            </w:rPr>
                            <w:fldChar w:fldCharType="end"/>
                          </w:r>
                          <w:r w:rsidRPr="00786707">
                            <w:rPr>
                              <w:b/>
                              <w:color w:val="FFFFFF" w:themeColor="background1"/>
                              <w:sz w:val="18"/>
                              <w:szCs w:val="18"/>
                            </w:rPr>
                            <w:t xml:space="preserve"> of </w:t>
                          </w:r>
                          <w:r w:rsidRPr="00786707">
                            <w:rPr>
                              <w:b/>
                              <w:color w:val="FFFFFF" w:themeColor="background1"/>
                              <w:sz w:val="18"/>
                              <w:szCs w:val="18"/>
                            </w:rPr>
                            <w:fldChar w:fldCharType="begin"/>
                          </w:r>
                          <w:r w:rsidRPr="00786707">
                            <w:rPr>
                              <w:b/>
                              <w:color w:val="FFFFFF" w:themeColor="background1"/>
                              <w:sz w:val="18"/>
                              <w:szCs w:val="18"/>
                            </w:rPr>
                            <w:instrText xml:space="preserve"> NUMPAGES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p>
                        <w:p w14:paraId="512DA66B" w14:textId="274B4F5A" w:rsidR="0056554C" w:rsidRDefault="0056554C" w:rsidP="0056554C">
                          <w:pPr>
                            <w:pStyle w:val="Footer"/>
                            <w:rPr>
                              <w:b/>
                              <w:color w:val="FFFFFF" w:themeColor="background1"/>
                              <w:sz w:val="18"/>
                              <w:szCs w:val="18"/>
                            </w:rPr>
                          </w:pPr>
                          <w:r>
                            <w:rPr>
                              <w:b/>
                              <w:color w:val="FFFFFF" w:themeColor="background1"/>
                              <w:sz w:val="18"/>
                              <w:szCs w:val="18"/>
                            </w:rPr>
                            <w:t>P</w:t>
                          </w:r>
                          <w:r w:rsidRPr="00786707">
                            <w:rPr>
                              <w:b/>
                              <w:color w:val="FFFFFF" w:themeColor="background1"/>
                              <w:sz w:val="18"/>
                              <w:szCs w:val="18"/>
                            </w:rPr>
                            <w:t xml:space="preserve">rinted: </w:t>
                          </w:r>
                          <w:r w:rsidRPr="00786707">
                            <w:rPr>
                              <w:b/>
                              <w:color w:val="FFFFFF" w:themeColor="background1"/>
                              <w:sz w:val="18"/>
                              <w:szCs w:val="18"/>
                            </w:rPr>
                            <w:fldChar w:fldCharType="begin"/>
                          </w:r>
                          <w:r w:rsidRPr="00786707">
                            <w:rPr>
                              <w:b/>
                              <w:color w:val="FFFFFF" w:themeColor="background1"/>
                              <w:sz w:val="18"/>
                              <w:szCs w:val="18"/>
                            </w:rPr>
                            <w:instrText xml:space="preserve"> DATE   \* MERGEFORMAT </w:instrText>
                          </w:r>
                          <w:r w:rsidRPr="00786707">
                            <w:rPr>
                              <w:b/>
                              <w:color w:val="FFFFFF" w:themeColor="background1"/>
                              <w:sz w:val="18"/>
                              <w:szCs w:val="18"/>
                            </w:rPr>
                            <w:fldChar w:fldCharType="separate"/>
                          </w:r>
                          <w:r w:rsidR="00B6657F">
                            <w:rPr>
                              <w:b/>
                              <w:noProof/>
                              <w:color w:val="FFFFFF" w:themeColor="background1"/>
                              <w:sz w:val="18"/>
                              <w:szCs w:val="18"/>
                            </w:rPr>
                            <w:t>11/12/2024</w:t>
                          </w:r>
                          <w:r w:rsidRPr="00786707">
                            <w:rPr>
                              <w:b/>
                              <w:color w:val="FFFFFF" w:themeColor="background1"/>
                              <w:sz w:val="18"/>
                              <w:szCs w:val="18"/>
                            </w:rPr>
                            <w:fldChar w:fldCharType="end"/>
                          </w:r>
                        </w:p>
                        <w:p w14:paraId="5F562E3C" w14:textId="77777777" w:rsidR="0056554C" w:rsidRDefault="0056554C" w:rsidP="0056554C">
                          <w:pPr>
                            <w:pStyle w:val="Footer"/>
                            <w:rPr>
                              <w:b/>
                              <w:color w:val="FFFFFF" w:themeColor="background1"/>
                              <w:sz w:val="18"/>
                              <w:szCs w:val="18"/>
                            </w:rPr>
                          </w:pPr>
                        </w:p>
                        <w:p w14:paraId="0838AC0F" w14:textId="77777777" w:rsidR="0056554C" w:rsidRPr="00786707" w:rsidRDefault="0056554C" w:rsidP="0056554C">
                          <w:pPr>
                            <w:pStyle w:val="Footer"/>
                            <w:rPr>
                              <w:b/>
                              <w:color w:val="FFFFFF" w:themeColor="background1"/>
                              <w:sz w:val="18"/>
                              <w:szCs w:val="18"/>
                            </w:rPr>
                          </w:pPr>
                        </w:p>
                        <w:p w14:paraId="012D8362" w14:textId="77777777" w:rsidR="0056554C" w:rsidRDefault="0056554C" w:rsidP="0056554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4F8A1C" id="_x0000_t202" coordsize="21600,21600" o:spt="202" path="m,l,21600r21600,l21600,xe">
              <v:stroke joinstyle="miter"/>
              <v:path gradientshapeok="t" o:connecttype="rect"/>
            </v:shapetype>
            <v:shape id="Text Box 15" o:spid="_x0000_s1032" type="#_x0000_t202" style="position:absolute;left:0;text-align:left;margin-left:441.75pt;margin-top:10pt;width:102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" filled="f" stroked="f" strokeweight=".5pt">
              <v:textbox>
                <w:txbxContent>
                  <w:p w14:paraId="58871496" w14:textId="77777777" w:rsidR="0056554C" w:rsidRDefault="0056554C" w:rsidP="0056554C">
                    <w:pPr>
                      <w:pStyle w:val="Footer"/>
                      <w:rPr>
                        <w:b/>
                        <w:color w:val="FFFFFF" w:themeColor="background1"/>
                        <w:sz w:val="18"/>
                        <w:szCs w:val="18"/>
                      </w:rPr>
                    </w:pPr>
                    <w:r>
                      <w:rPr>
                        <w:b/>
                        <w:color w:val="FFFFFF" w:themeColor="background1"/>
                        <w:sz w:val="18"/>
                        <w:szCs w:val="18"/>
                      </w:rPr>
                      <w:t>Page</w:t>
                    </w:r>
                    <w:r w:rsidRPr="00786707">
                      <w:rPr>
                        <w:b/>
                        <w:color w:val="FFFFFF" w:themeColor="background1"/>
                        <w:sz w:val="18"/>
                        <w:szCs w:val="18"/>
                      </w:rPr>
                      <w:t xml:space="preserve">: </w:t>
                    </w:r>
                    <w:r w:rsidRPr="00786707">
                      <w:rPr>
                        <w:b/>
                        <w:color w:val="FFFFFF" w:themeColor="background1"/>
                        <w:sz w:val="18"/>
                        <w:szCs w:val="18"/>
                      </w:rPr>
                      <w:fldChar w:fldCharType="begin"/>
                    </w:r>
                    <w:r w:rsidRPr="00786707">
                      <w:rPr>
                        <w:b/>
                        <w:color w:val="FFFFFF" w:themeColor="background1"/>
                        <w:sz w:val="18"/>
                        <w:szCs w:val="18"/>
                      </w:rPr>
                      <w:instrText xml:space="preserve"> PAGE  \* Arabic  \* MERGEFORMAT </w:instrText>
                    </w:r>
                    <w:r w:rsidRPr="00786707">
                      <w:rPr>
                        <w:b/>
                        <w:color w:val="FFFFFF" w:themeColor="background1"/>
                        <w:sz w:val="18"/>
                        <w:szCs w:val="18"/>
                      </w:rPr>
                      <w:fldChar w:fldCharType="separate"/>
                    </w:r>
                    <w:r>
                      <w:rPr>
                        <w:b/>
                        <w:color w:val="FFFFFF" w:themeColor="background1"/>
                        <w:sz w:val="18"/>
                        <w:szCs w:val="18"/>
                      </w:rPr>
                      <w:t>1</w:t>
                    </w:r>
                    <w:r w:rsidRPr="00786707">
                      <w:rPr>
                        <w:b/>
                        <w:color w:val="FFFFFF" w:themeColor="background1"/>
                        <w:sz w:val="18"/>
                        <w:szCs w:val="18"/>
                      </w:rPr>
                      <w:fldChar w:fldCharType="end"/>
                    </w:r>
                    <w:r w:rsidRPr="00786707">
                      <w:rPr>
                        <w:b/>
                        <w:color w:val="FFFFFF" w:themeColor="background1"/>
                        <w:sz w:val="18"/>
                        <w:szCs w:val="18"/>
                      </w:rPr>
                      <w:t xml:space="preserve"> of </w:t>
                    </w:r>
                    <w:r w:rsidRPr="00786707">
                      <w:rPr>
                        <w:b/>
                        <w:color w:val="FFFFFF" w:themeColor="background1"/>
                        <w:sz w:val="18"/>
                        <w:szCs w:val="18"/>
                      </w:rPr>
                      <w:fldChar w:fldCharType="begin"/>
                    </w:r>
                    <w:r w:rsidRPr="00786707">
                      <w:rPr>
                        <w:b/>
                        <w:color w:val="FFFFFF" w:themeColor="background1"/>
                        <w:sz w:val="18"/>
                        <w:szCs w:val="18"/>
                      </w:rPr>
                      <w:instrText xml:space="preserve"> NUMPAGES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p>
                  <w:p w14:paraId="512DA66B" w14:textId="274B4F5A" w:rsidR="0056554C" w:rsidRDefault="0056554C" w:rsidP="0056554C">
                    <w:pPr>
                      <w:pStyle w:val="Footer"/>
                      <w:rPr>
                        <w:b/>
                        <w:color w:val="FFFFFF" w:themeColor="background1"/>
                        <w:sz w:val="18"/>
                        <w:szCs w:val="18"/>
                      </w:rPr>
                    </w:pPr>
                    <w:r>
                      <w:rPr>
                        <w:b/>
                        <w:color w:val="FFFFFF" w:themeColor="background1"/>
                        <w:sz w:val="18"/>
                        <w:szCs w:val="18"/>
                      </w:rPr>
                      <w:t>P</w:t>
                    </w:r>
                    <w:r w:rsidRPr="00786707">
                      <w:rPr>
                        <w:b/>
                        <w:color w:val="FFFFFF" w:themeColor="background1"/>
                        <w:sz w:val="18"/>
                        <w:szCs w:val="18"/>
                      </w:rPr>
                      <w:t xml:space="preserve">rinted: </w:t>
                    </w:r>
                    <w:r w:rsidRPr="00786707">
                      <w:rPr>
                        <w:b/>
                        <w:color w:val="FFFFFF" w:themeColor="background1"/>
                        <w:sz w:val="18"/>
                        <w:szCs w:val="18"/>
                      </w:rPr>
                      <w:fldChar w:fldCharType="begin"/>
                    </w:r>
                    <w:r w:rsidRPr="00786707">
                      <w:rPr>
                        <w:b/>
                        <w:color w:val="FFFFFF" w:themeColor="background1"/>
                        <w:sz w:val="18"/>
                        <w:szCs w:val="18"/>
                      </w:rPr>
                      <w:instrText xml:space="preserve"> DATE   \* MERGEFORMAT </w:instrText>
                    </w:r>
                    <w:r w:rsidRPr="00786707">
                      <w:rPr>
                        <w:b/>
                        <w:color w:val="FFFFFF" w:themeColor="background1"/>
                        <w:sz w:val="18"/>
                        <w:szCs w:val="18"/>
                      </w:rPr>
                      <w:fldChar w:fldCharType="separate"/>
                    </w:r>
                    <w:r w:rsidR="00B6657F">
                      <w:rPr>
                        <w:b/>
                        <w:noProof/>
                        <w:color w:val="FFFFFF" w:themeColor="background1"/>
                        <w:sz w:val="18"/>
                        <w:szCs w:val="18"/>
                      </w:rPr>
                      <w:t>11/12/2024</w:t>
                    </w:r>
                    <w:r w:rsidRPr="00786707">
                      <w:rPr>
                        <w:b/>
                        <w:color w:val="FFFFFF" w:themeColor="background1"/>
                        <w:sz w:val="18"/>
                        <w:szCs w:val="18"/>
                      </w:rPr>
                      <w:fldChar w:fldCharType="end"/>
                    </w:r>
                  </w:p>
                  <w:p w14:paraId="5F562E3C" w14:textId="77777777" w:rsidR="0056554C" w:rsidRDefault="0056554C" w:rsidP="0056554C">
                    <w:pPr>
                      <w:pStyle w:val="Footer"/>
                      <w:rPr>
                        <w:b/>
                        <w:color w:val="FFFFFF" w:themeColor="background1"/>
                        <w:sz w:val="18"/>
                        <w:szCs w:val="18"/>
                      </w:rPr>
                    </w:pPr>
                  </w:p>
                  <w:p w14:paraId="0838AC0F" w14:textId="77777777" w:rsidR="0056554C" w:rsidRPr="00786707" w:rsidRDefault="0056554C" w:rsidP="0056554C">
                    <w:pPr>
                      <w:pStyle w:val="Footer"/>
                      <w:rPr>
                        <w:b/>
                        <w:color w:val="FFFFFF" w:themeColor="background1"/>
                        <w:sz w:val="18"/>
                        <w:szCs w:val="18"/>
                      </w:rPr>
                    </w:pPr>
                  </w:p>
                  <w:p w14:paraId="012D8362" w14:textId="77777777" w:rsidR="0056554C" w:rsidRDefault="0056554C" w:rsidP="0056554C">
                    <w:pPr>
                      <w:rPr>
                        <w:sz w:val="18"/>
                        <w:szCs w:val="18"/>
                      </w:rPr>
                    </w:pPr>
                  </w:p>
                </w:txbxContent>
              </v:textbox>
            </v:shape>
          </w:pict>
        </mc:Fallback>
      </mc:AlternateContent>
    </w:r>
    <w:r w:rsidR="000D2FE3">
      <w:rPr>
        <w:rFonts w:ascii="Times New Roman" w:hAnsi="Times New Roman" w:cs="Times New Roman"/>
        <w:noProof/>
        <w:sz w:val="24"/>
        <w:szCs w:val="24"/>
        <w:lang w:eastAsia="en-AU"/>
      </w:rPr>
      <mc:AlternateContent>
        <mc:Choice Requires="wps">
          <w:drawing>
            <wp:anchor distT="0" distB="0" distL="114300" distR="114300" simplePos="0" relativeHeight="251674624" behindDoc="0" locked="0" layoutInCell="0" allowOverlap="1" wp14:anchorId="7CF35A07" wp14:editId="63F2BA63">
              <wp:simplePos x="0" y="0"/>
              <wp:positionH relativeFrom="page">
                <wp:posOffset>0</wp:posOffset>
              </wp:positionH>
              <wp:positionV relativeFrom="page">
                <wp:posOffset>10240645</wp:posOffset>
              </wp:positionV>
              <wp:extent cx="7560310" cy="260350"/>
              <wp:effectExtent l="0" t="0" r="0" b="6350"/>
              <wp:wrapNone/>
              <wp:docPr id="133" name="MSIPCMd6b748f6bbb378f156a46600" descr="{&quot;HashCode&quot;:-139111647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9C1B8" w14:textId="1F166558" w:rsidR="000D2FE3" w:rsidRPr="000D2FE3" w:rsidRDefault="000D2FE3" w:rsidP="000D2FE3">
                          <w:pPr>
                            <w:spacing w:before="0" w:after="0"/>
                            <w:jc w:val="center"/>
                            <w:rPr>
                              <w:rFonts w:ascii="Arial Rounded MT Bold" w:hAnsi="Arial Rounded MT Bold"/>
                              <w:color w:val="000000"/>
                              <w:sz w:val="24"/>
                            </w:rPr>
                          </w:pPr>
                          <w:r w:rsidRPr="000D2FE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F35A07" id="MSIPCMd6b748f6bbb378f156a46600" o:spid="_x0000_s1033" type="#_x0000_t202" alt="{&quot;HashCode&quot;:-1391116470,&quot;Height&quot;:841.0,&quot;Width&quot;:595.0,&quot;Placement&quot;:&quot;Footer&quot;,&quot;Index&quot;:&quot;Primary&quot;,&quot;Section&quot;:2,&quot;Top&quot;:0.0,&quot;Left&quot;:0.0}" style="position:absolute;left:0;text-align:left;margin-left:0;margin-top:806.35pt;width:595.3pt;height:20.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" o:allowincell="f" filled="f" stroked="f" strokeweight=".5pt">
              <v:textbox inset=",0,,0">
                <w:txbxContent>
                  <w:p w14:paraId="7169C1B8" w14:textId="1F166558" w:rsidR="000D2FE3" w:rsidRPr="000D2FE3" w:rsidRDefault="000D2FE3" w:rsidP="000D2FE3">
                    <w:pPr>
                      <w:spacing w:before="0" w:after="0"/>
                      <w:jc w:val="center"/>
                      <w:rPr>
                        <w:rFonts w:ascii="Arial Rounded MT Bold" w:hAnsi="Arial Rounded MT Bold"/>
                        <w:color w:val="000000"/>
                        <w:sz w:val="24"/>
                      </w:rPr>
                    </w:pPr>
                    <w:r w:rsidRPr="000D2FE3">
                      <w:rPr>
                        <w:rFonts w:ascii="Arial Rounded MT Bold" w:hAnsi="Arial Rounded MT Bold"/>
                        <w:color w:val="000000"/>
                        <w:sz w:val="24"/>
                      </w:rPr>
                      <w:t>OFFICIAL</w:t>
                    </w:r>
                  </w:p>
                </w:txbxContent>
              </v:textbox>
              <w10:wrap anchorx="page" anchory="page"/>
            </v:shape>
          </w:pict>
        </mc:Fallback>
      </mc:AlternateContent>
    </w:r>
  </w:p>
  <w:p w14:paraId="0A0C78A0" w14:textId="54E349BD" w:rsidR="000D2FE3" w:rsidRPr="0056554C" w:rsidRDefault="000D2FE3">
    <w:pPr>
      <w:pStyle w:val="Footer"/>
      <w:rPr>
        <w:b/>
        <w:color w:val="FFFFFF" w:themeColor="background1"/>
        <w:sz w:val="18"/>
        <w:szCs w:val="18"/>
      </w:rPr>
    </w:pPr>
    <w:r w:rsidRPr="00786707">
      <w:rPr>
        <w:b/>
        <w:noProof/>
        <w:color w:val="FFFFFF" w:themeColor="background1"/>
        <w:sz w:val="18"/>
        <w:szCs w:val="18"/>
        <w:lang w:eastAsia="en-AU"/>
      </w:rPr>
      <w:drawing>
        <wp:anchor distT="0" distB="0" distL="114300" distR="114300" simplePos="0" relativeHeight="251671552" behindDoc="1" locked="1" layoutInCell="1" allowOverlap="1" wp14:anchorId="6444E83F" wp14:editId="36D21569">
          <wp:simplePos x="0" y="0"/>
          <wp:positionH relativeFrom="page">
            <wp:posOffset>0</wp:posOffset>
          </wp:positionH>
          <wp:positionV relativeFrom="page">
            <wp:posOffset>9782175</wp:posOffset>
          </wp:positionV>
          <wp:extent cx="7602855" cy="9118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FooterSimple@2x.png"/>
                  <pic:cNvPicPr/>
                </pic:nvPicPr>
                <pic:blipFill>
                  <a:blip r:embed="rId1">
                    <a:extLst>
                      <a:ext uri="{28A0092B-C50C-407E-A947-70E740481C1C}">
                        <a14:useLocalDpi xmlns:a14="http://schemas.microsoft.com/office/drawing/2010/main" val="0"/>
                      </a:ext>
                    </a:extLst>
                  </a:blip>
                  <a:stretch>
                    <a:fillRect/>
                  </a:stretch>
                </pic:blipFill>
                <pic:spPr>
                  <a:xfrm>
                    <a:off x="0" y="0"/>
                    <a:ext cx="7602855" cy="911860"/>
                  </a:xfrm>
                  <a:prstGeom prst="rect">
                    <a:avLst/>
                  </a:prstGeom>
                </pic:spPr>
              </pic:pic>
            </a:graphicData>
          </a:graphic>
          <wp14:sizeRelH relativeFrom="margin">
            <wp14:pctWidth>0</wp14:pctWidth>
          </wp14:sizeRelH>
          <wp14:sizeRelV relativeFrom="margin">
            <wp14:pctHeight>0</wp14:pctHeight>
          </wp14:sizeRelV>
        </wp:anchor>
      </w:drawing>
    </w:r>
    <w:r w:rsidRPr="00786707">
      <w:rPr>
        <w:rFonts w:cs="Arial"/>
        <w:b/>
        <w:color w:val="FFFFFF" w:themeColor="background1"/>
        <w:sz w:val="18"/>
        <w:szCs w:val="18"/>
      </w:rPr>
      <w:t>To ensure copies are current check issue date on Operational Management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E8CB" w14:textId="77777777" w:rsidR="00464077" w:rsidRDefault="00464077" w:rsidP="00855C9F">
      <w:r>
        <w:separator/>
      </w:r>
    </w:p>
  </w:footnote>
  <w:footnote w:type="continuationSeparator" w:id="0">
    <w:p w14:paraId="1EA8640F" w14:textId="77777777" w:rsidR="00464077" w:rsidRDefault="00464077" w:rsidP="0085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AC9A4" w14:textId="77777777" w:rsidR="0000493B" w:rsidRDefault="00004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8CC4" w14:textId="4D12E2E4" w:rsidR="00A15C20" w:rsidRPr="00A15C20" w:rsidRDefault="008C318A" w:rsidP="00136A4B">
    <w:pPr>
      <w:pStyle w:val="WeareTheGordon"/>
      <w:tabs>
        <w:tab w:val="left" w:pos="1590"/>
      </w:tabs>
      <w:rPr>
        <w:sz w:val="52"/>
        <w:lang w:val="en-US"/>
      </w:rPr>
    </w:pPr>
    <w:r w:rsidRPr="00A15C20">
      <w:rPr>
        <w:noProof/>
        <w:sz w:val="52"/>
        <w:lang w:eastAsia="en-AU"/>
      </w:rPr>
      <mc:AlternateContent>
        <mc:Choice Requires="wps">
          <w:drawing>
            <wp:anchor distT="45720" distB="45720" distL="114300" distR="114300" simplePos="0" relativeHeight="251659264" behindDoc="0" locked="0" layoutInCell="1" allowOverlap="1" wp14:anchorId="687388F1" wp14:editId="63243829">
              <wp:simplePos x="0" y="0"/>
              <wp:positionH relativeFrom="column">
                <wp:posOffset>4274185</wp:posOffset>
              </wp:positionH>
              <wp:positionV relativeFrom="paragraph">
                <wp:posOffset>32385</wp:posOffset>
              </wp:positionV>
              <wp:extent cx="2732405"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404620"/>
                      </a:xfrm>
                      <a:prstGeom prst="rect">
                        <a:avLst/>
                      </a:prstGeom>
                      <a:solidFill>
                        <a:srgbClr val="FFFFFF"/>
                      </a:solidFill>
                      <a:ln w="9525">
                        <a:noFill/>
                        <a:miter lim="800000"/>
                        <a:headEnd/>
                        <a:tailEnd/>
                      </a:ln>
                    </wps:spPr>
                    <wps:txbx>
                      <w:txbxContent>
                        <w:p w14:paraId="476F1468" w14:textId="100C3E07" w:rsidR="00A15C20" w:rsidRDefault="00A15C20" w:rsidP="000C6F97">
                          <w:pPr>
                            <w:pStyle w:val="WeareTheGordon"/>
                            <w:jc w:val="right"/>
                            <w:rPr>
                              <w:sz w:val="36"/>
                              <w:lang w:val="en-US"/>
                            </w:rPr>
                          </w:pPr>
                          <w:r w:rsidRPr="008A11D3">
                            <w:rPr>
                              <w:sz w:val="36"/>
                              <w:lang w:val="en-US"/>
                            </w:rPr>
                            <w:t>Policy</w:t>
                          </w:r>
                        </w:p>
                        <w:p w14:paraId="40B450CF" w14:textId="3CBE3D30" w:rsidR="0056554C" w:rsidRPr="0056554C" w:rsidRDefault="00B6657F" w:rsidP="000C6F97">
                          <w:pPr>
                            <w:pStyle w:val="WeareTheGordon"/>
                            <w:jc w:val="right"/>
                            <w:rPr>
                              <w:sz w:val="18"/>
                              <w:szCs w:val="18"/>
                            </w:rPr>
                          </w:pPr>
                          <w:r>
                            <w:rPr>
                              <w:sz w:val="18"/>
                              <w:szCs w:val="18"/>
                            </w:rPr>
                            <w:t>STS PO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388F1" id="_x0000_t202" coordsize="21600,21600" o:spt="202" path="m,l,21600r21600,l21600,xe">
              <v:stroke joinstyle="miter"/>
              <v:path gradientshapeok="t" o:connecttype="rect"/>
            </v:shapetype>
            <v:shape id="Text Box 2" o:spid="_x0000_s1026" type="#_x0000_t202" style="position:absolute;margin-left:336.55pt;margin-top:2.55pt;width:21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MKIQIAAB4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" stroked="f">
              <v:textbox style="mso-fit-shape-to-text:t">
                <w:txbxContent>
                  <w:p w14:paraId="476F1468" w14:textId="100C3E07" w:rsidR="00A15C20" w:rsidRDefault="00A15C20" w:rsidP="000C6F97">
                    <w:pPr>
                      <w:pStyle w:val="WeareTheGordon"/>
                      <w:jc w:val="right"/>
                      <w:rPr>
                        <w:sz w:val="36"/>
                        <w:lang w:val="en-US"/>
                      </w:rPr>
                    </w:pPr>
                    <w:r w:rsidRPr="008A11D3">
                      <w:rPr>
                        <w:sz w:val="36"/>
                        <w:lang w:val="en-US"/>
                      </w:rPr>
                      <w:t>Policy</w:t>
                    </w:r>
                  </w:p>
                  <w:p w14:paraId="40B450CF" w14:textId="3CBE3D30" w:rsidR="0056554C" w:rsidRPr="0056554C" w:rsidRDefault="00B6657F" w:rsidP="000C6F97">
                    <w:pPr>
                      <w:pStyle w:val="WeareTheGordon"/>
                      <w:jc w:val="right"/>
                      <w:rPr>
                        <w:sz w:val="18"/>
                        <w:szCs w:val="18"/>
                      </w:rPr>
                    </w:pPr>
                    <w:r>
                      <w:rPr>
                        <w:sz w:val="18"/>
                        <w:szCs w:val="18"/>
                      </w:rPr>
                      <w:t>STS PO 12</w:t>
                    </w:r>
                  </w:p>
                </w:txbxContent>
              </v:textbox>
              <w10:wrap type="square"/>
            </v:shape>
          </w:pict>
        </mc:Fallback>
      </mc:AlternateContent>
    </w:r>
    <w:r>
      <w:rPr>
        <w:noProof/>
        <w:sz w:val="52"/>
        <w:lang w:eastAsia="en-AU"/>
      </w:rPr>
      <w:drawing>
        <wp:anchor distT="0" distB="0" distL="114300" distR="114300" simplePos="0" relativeHeight="251660288" behindDoc="1" locked="0" layoutInCell="1" allowOverlap="1" wp14:anchorId="0C5BCF91" wp14:editId="3872C719">
          <wp:simplePos x="0" y="0"/>
          <wp:positionH relativeFrom="column">
            <wp:posOffset>-916305</wp:posOffset>
          </wp:positionH>
          <wp:positionV relativeFrom="paragraph">
            <wp:posOffset>-346076</wp:posOffset>
          </wp:positionV>
          <wp:extent cx="8116570" cy="10503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HeaderSimple@2x.png"/>
                  <pic:cNvPicPr/>
                </pic:nvPicPr>
                <pic:blipFill>
                  <a:blip r:embed="rId1">
                    <a:extLst>
                      <a:ext uri="{28A0092B-C50C-407E-A947-70E740481C1C}">
                        <a14:useLocalDpi xmlns:a14="http://schemas.microsoft.com/office/drawing/2010/main" val="0"/>
                      </a:ext>
                    </a:extLst>
                  </a:blip>
                  <a:stretch>
                    <a:fillRect/>
                  </a:stretch>
                </pic:blipFill>
                <pic:spPr>
                  <a:xfrm>
                    <a:off x="0" y="0"/>
                    <a:ext cx="8161523" cy="1056134"/>
                  </a:xfrm>
                  <a:prstGeom prst="rect">
                    <a:avLst/>
                  </a:prstGeom>
                </pic:spPr>
              </pic:pic>
            </a:graphicData>
          </a:graphic>
          <wp14:sizeRelH relativeFrom="page">
            <wp14:pctWidth>0</wp14:pctWidth>
          </wp14:sizeRelH>
          <wp14:sizeRelV relativeFrom="page">
            <wp14:pctHeight>0</wp14:pctHeight>
          </wp14:sizeRelV>
        </wp:anchor>
      </w:drawing>
    </w:r>
    <w:r w:rsidR="008A11D3">
      <w:rPr>
        <w:noProof/>
        <w:sz w:val="52"/>
        <w:lang w:eastAsia="en-AU"/>
      </w:rPr>
      <mc:AlternateContent>
        <mc:Choice Requires="wps">
          <w:drawing>
            <wp:anchor distT="0" distB="0" distL="114300" distR="114300" simplePos="0" relativeHeight="251663360" behindDoc="0" locked="0" layoutInCell="0" allowOverlap="1" wp14:anchorId="274B1253" wp14:editId="5E7B8411">
              <wp:simplePos x="0" y="0"/>
              <wp:positionH relativeFrom="page">
                <wp:posOffset>0</wp:posOffset>
              </wp:positionH>
              <wp:positionV relativeFrom="page">
                <wp:posOffset>190500</wp:posOffset>
              </wp:positionV>
              <wp:extent cx="7560310" cy="260350"/>
              <wp:effectExtent l="0" t="0" r="0" b="6350"/>
              <wp:wrapNone/>
              <wp:docPr id="142" name="MSIPCMb87e47aaa03a03902927b43c" descr="{&quot;HashCode&quot;:-1415254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DDC5A"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74B1253" id="MSIPCMb87e47aaa03a03902927b43c" o:spid="_x0000_s1027" type="#_x0000_t202" alt="{&quot;HashCode&quot;:-1415254039,&quot;Height&quot;:841.0,&quot;Width&quot;:595.0,&quot;Placement&quot;:&quot;Header&quot;,&quot;Index&quot;:&quot;Primary&quot;,&quot;Section&quot;:1,&quot;Top&quot;:0.0,&quot;Left&quot;:0.0}" style="position:absolute;margin-left:0;margin-top:15pt;width:595.3pt;height:2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" o:allowincell="f" filled="f" stroked="f" strokeweight=".5pt">
              <v:textbox inset=",0,,0">
                <w:txbxContent>
                  <w:p w14:paraId="79BDDC5A" w14:textId="77777777" w:rsidR="008A11D3" w:rsidRPr="008A11D3" w:rsidRDefault="008A11D3" w:rsidP="008A11D3">
                    <w:pPr>
                      <w:spacing w:before="0" w:after="0"/>
                      <w:jc w:val="center"/>
                      <w:rPr>
                        <w:rFonts w:ascii="Arial Rounded MT Bold" w:hAnsi="Arial Rounded MT Bold"/>
                        <w:color w:val="000000"/>
                        <w:sz w:val="24"/>
                      </w:rPr>
                    </w:pPr>
                    <w:r w:rsidRPr="008A11D3">
                      <w:rPr>
                        <w:rFonts w:ascii="Arial Rounded MT Bold" w:hAnsi="Arial Rounded MT Bold"/>
                        <w:color w:val="000000"/>
                        <w:sz w:val="24"/>
                      </w:rPr>
                      <w:t>OFFICIAL</w:t>
                    </w:r>
                  </w:p>
                </w:txbxContent>
              </v:textbox>
              <w10:wrap anchorx="page" anchory="page"/>
            </v:shape>
          </w:pict>
        </mc:Fallback>
      </mc:AlternateContent>
    </w:r>
    <w:r w:rsidR="00136A4B">
      <w:rPr>
        <w:sz w:val="52"/>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E402" w14:textId="77777777" w:rsidR="0000493B" w:rsidRDefault="000049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C85F9" w14:textId="1BD2DB6C" w:rsidR="000D2FE3" w:rsidRPr="000D2FE3" w:rsidRDefault="0000493B" w:rsidP="000D2FE3">
    <w:pPr>
      <w:pStyle w:val="Header"/>
    </w:pPr>
    <w:r>
      <w:rPr>
        <w:rFonts w:ascii="Times New Roman" w:hAnsi="Times New Roman" w:cs="Times New Roman"/>
        <w:noProof/>
        <w:sz w:val="24"/>
        <w:szCs w:val="24"/>
        <w:lang w:eastAsia="en-AU"/>
      </w:rPr>
      <mc:AlternateContent>
        <mc:Choice Requires="wps">
          <w:drawing>
            <wp:anchor distT="0" distB="0" distL="114300" distR="114300" simplePos="0" relativeHeight="251679744" behindDoc="0" locked="0" layoutInCell="0" allowOverlap="1" wp14:anchorId="0338796F" wp14:editId="2E10C99C">
              <wp:simplePos x="0" y="0"/>
              <wp:positionH relativeFrom="page">
                <wp:posOffset>0</wp:posOffset>
              </wp:positionH>
              <wp:positionV relativeFrom="page">
                <wp:posOffset>190500</wp:posOffset>
              </wp:positionV>
              <wp:extent cx="7560310" cy="260350"/>
              <wp:effectExtent l="0" t="0" r="0" b="6350"/>
              <wp:wrapNone/>
              <wp:docPr id="5" name="MSIPCM427042c1973006baf53763b9" descr="{&quot;HashCode&quot;:-1415254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7CD83" w14:textId="46C4897D" w:rsidR="0000493B" w:rsidRPr="0000493B" w:rsidRDefault="0000493B" w:rsidP="0000493B">
                          <w:pPr>
                            <w:spacing w:before="0" w:after="0"/>
                            <w:jc w:val="center"/>
                            <w:rPr>
                              <w:rFonts w:ascii="Arial Rounded MT Bold" w:hAnsi="Arial Rounded MT Bold"/>
                              <w:color w:val="000000"/>
                              <w:sz w:val="24"/>
                            </w:rPr>
                          </w:pPr>
                          <w:r w:rsidRPr="0000493B">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38796F" id="_x0000_t202" coordsize="21600,21600" o:spt="202" path="m,l,21600r21600,l21600,xe">
              <v:stroke joinstyle="miter"/>
              <v:path gradientshapeok="t" o:connecttype="rect"/>
            </v:shapetype>
            <v:shape id="MSIPCM427042c1973006baf53763b9" o:spid="_x0000_s1030" type="#_x0000_t202" alt="{&quot;HashCode&quot;:-1415254039,&quot;Height&quot;:841.0,&quot;Width&quot;:595.0,&quot;Placement&quot;:&quot;Header&quot;,&quot;Index&quot;:&quot;Primary&quot;,&quot;Section&quot;:2,&quot;Top&quot;:0.0,&quot;Left&quot;:0.0}" style="position:absolute;margin-left:0;margin-top:15pt;width:595.3pt;height:20.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" o:allowincell="f" filled="f" stroked="f" strokeweight=".5pt">
              <v:fill o:detectmouseclick="t"/>
              <v:textbox inset=",0,,0">
                <w:txbxContent>
                  <w:p w14:paraId="4C37CD83" w14:textId="46C4897D" w:rsidR="0000493B" w:rsidRPr="0000493B" w:rsidRDefault="0000493B" w:rsidP="0000493B">
                    <w:pPr>
                      <w:spacing w:before="0" w:after="0"/>
                      <w:jc w:val="center"/>
                      <w:rPr>
                        <w:rFonts w:ascii="Arial Rounded MT Bold" w:hAnsi="Arial Rounded MT Bold"/>
                        <w:color w:val="000000"/>
                        <w:sz w:val="24"/>
                      </w:rPr>
                    </w:pPr>
                    <w:r w:rsidRPr="0000493B">
                      <w:rPr>
                        <w:rFonts w:ascii="Arial Rounded MT Bold" w:hAnsi="Arial Rounded MT Bold"/>
                        <w:color w:val="000000"/>
                        <w:sz w:val="24"/>
                      </w:rPr>
                      <w:t>OFFICIAL</w:t>
                    </w:r>
                  </w:p>
                </w:txbxContent>
              </v:textbox>
              <w10:wrap anchorx="page" anchory="page"/>
            </v:shape>
          </w:pict>
        </mc:Fallback>
      </mc:AlternateContent>
    </w:r>
    <w:r w:rsidR="0056554C">
      <w:rPr>
        <w:rFonts w:ascii="Times New Roman" w:hAnsi="Times New Roman" w:cs="Times New Roman"/>
        <w:noProof/>
        <w:sz w:val="24"/>
        <w:szCs w:val="24"/>
        <w:lang w:eastAsia="en-AU"/>
      </w:rPr>
      <mc:AlternateContent>
        <mc:Choice Requires="wps">
          <w:drawing>
            <wp:anchor distT="0" distB="0" distL="114300" distR="114300" simplePos="0" relativeHeight="251676672" behindDoc="0" locked="0" layoutInCell="1" allowOverlap="1" wp14:anchorId="457CF78A" wp14:editId="16DE096C">
              <wp:simplePos x="0" y="0"/>
              <wp:positionH relativeFrom="column">
                <wp:posOffset>6195060</wp:posOffset>
              </wp:positionH>
              <wp:positionV relativeFrom="paragraph">
                <wp:posOffset>-635</wp:posOffset>
              </wp:positionV>
              <wp:extent cx="771525"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71525" cy="285750"/>
                      </a:xfrm>
                      <a:prstGeom prst="rect">
                        <a:avLst/>
                      </a:prstGeom>
                      <a:noFill/>
                      <a:ln w="6350">
                        <a:noFill/>
                      </a:ln>
                    </wps:spPr>
                    <wps:txbx>
                      <w:txbxContent>
                        <w:p w14:paraId="16586042" w14:textId="2E19F96F" w:rsidR="0056554C" w:rsidRPr="0056554C" w:rsidRDefault="00B6657F" w:rsidP="0056554C">
                          <w:pPr>
                            <w:pStyle w:val="Footer"/>
                            <w:rPr>
                              <w:b/>
                              <w:color w:val="4F81BD" w:themeColor="accent1"/>
                              <w:sz w:val="18"/>
                              <w:szCs w:val="18"/>
                            </w:rPr>
                          </w:pPr>
                          <w:r>
                            <w:rPr>
                              <w:b/>
                              <w:color w:val="4F81BD" w:themeColor="accent1"/>
                              <w:sz w:val="18"/>
                              <w:szCs w:val="18"/>
                            </w:rPr>
                            <w:t>STS PO 12</w:t>
                          </w:r>
                        </w:p>
                        <w:p w14:paraId="57719041" w14:textId="77777777" w:rsidR="0056554C" w:rsidRPr="00786707" w:rsidRDefault="0056554C" w:rsidP="0056554C">
                          <w:pPr>
                            <w:pStyle w:val="Footer"/>
                            <w:rPr>
                              <w:b/>
                              <w:color w:val="FFFFFF" w:themeColor="background1"/>
                              <w:sz w:val="18"/>
                              <w:szCs w:val="18"/>
                            </w:rPr>
                          </w:pPr>
                          <w:r>
                            <w:rPr>
                              <w:b/>
                              <w:color w:val="FFFFFF" w:themeColor="background1"/>
                              <w:sz w:val="18"/>
                              <w:szCs w:val="18"/>
                            </w:rPr>
                            <w:t>Page</w:t>
                          </w:r>
                          <w:r w:rsidRPr="00786707">
                            <w:rPr>
                              <w:b/>
                              <w:color w:val="FFFFFF" w:themeColor="background1"/>
                              <w:sz w:val="18"/>
                              <w:szCs w:val="18"/>
                            </w:rPr>
                            <w:t xml:space="preserve">: </w:t>
                          </w:r>
                          <w:r w:rsidRPr="00786707">
                            <w:rPr>
                              <w:b/>
                              <w:color w:val="FFFFFF" w:themeColor="background1"/>
                              <w:sz w:val="18"/>
                              <w:szCs w:val="18"/>
                            </w:rPr>
                            <w:fldChar w:fldCharType="begin"/>
                          </w:r>
                          <w:r w:rsidRPr="00786707">
                            <w:rPr>
                              <w:b/>
                              <w:color w:val="FFFFFF" w:themeColor="background1"/>
                              <w:sz w:val="18"/>
                              <w:szCs w:val="18"/>
                            </w:rPr>
                            <w:instrText xml:space="preserve"> PAGE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r w:rsidRPr="00786707">
                            <w:rPr>
                              <w:b/>
                              <w:color w:val="FFFFFF" w:themeColor="background1"/>
                              <w:sz w:val="18"/>
                              <w:szCs w:val="18"/>
                            </w:rPr>
                            <w:t xml:space="preserve"> of </w:t>
                          </w:r>
                          <w:r w:rsidRPr="00786707">
                            <w:rPr>
                              <w:b/>
                              <w:color w:val="FFFFFF" w:themeColor="background1"/>
                              <w:sz w:val="18"/>
                              <w:szCs w:val="18"/>
                            </w:rPr>
                            <w:fldChar w:fldCharType="begin"/>
                          </w:r>
                          <w:r w:rsidRPr="00786707">
                            <w:rPr>
                              <w:b/>
                              <w:color w:val="FFFFFF" w:themeColor="background1"/>
                              <w:sz w:val="18"/>
                              <w:szCs w:val="18"/>
                            </w:rPr>
                            <w:instrText xml:space="preserve"> NUMPAGES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p>
                        <w:p w14:paraId="3AB7E402" w14:textId="77777777" w:rsidR="0056554C" w:rsidRPr="00E62351" w:rsidRDefault="0056554C" w:rsidP="0056554C">
                          <w:pPr>
                            <w:pStyle w:val="Footer"/>
                            <w:rPr>
                              <w:b/>
                              <w:color w:val="FFFFFF" w:themeColor="background1"/>
                              <w:sz w:val="18"/>
                              <w:szCs w:val="18"/>
                            </w:rPr>
                          </w:pPr>
                        </w:p>
                        <w:p w14:paraId="3BB2E4C3" w14:textId="77777777" w:rsidR="0056554C" w:rsidRDefault="0056554C" w:rsidP="0056554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7CF78A" id="Text Box 13" o:spid="_x0000_s1031" type="#_x0000_t202" style="position:absolute;margin-left:487.8pt;margin-top:-.05pt;width:60.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" filled="f" stroked="f" strokeweight=".5pt">
              <v:textbox>
                <w:txbxContent>
                  <w:p w14:paraId="16586042" w14:textId="2E19F96F" w:rsidR="0056554C" w:rsidRPr="0056554C" w:rsidRDefault="00B6657F" w:rsidP="0056554C">
                    <w:pPr>
                      <w:pStyle w:val="Footer"/>
                      <w:rPr>
                        <w:b/>
                        <w:color w:val="4F81BD" w:themeColor="accent1"/>
                        <w:sz w:val="18"/>
                        <w:szCs w:val="18"/>
                      </w:rPr>
                    </w:pPr>
                    <w:r>
                      <w:rPr>
                        <w:b/>
                        <w:color w:val="4F81BD" w:themeColor="accent1"/>
                        <w:sz w:val="18"/>
                        <w:szCs w:val="18"/>
                      </w:rPr>
                      <w:t>STS PO 12</w:t>
                    </w:r>
                  </w:p>
                  <w:p w14:paraId="57719041" w14:textId="77777777" w:rsidR="0056554C" w:rsidRPr="00786707" w:rsidRDefault="0056554C" w:rsidP="0056554C">
                    <w:pPr>
                      <w:pStyle w:val="Footer"/>
                      <w:rPr>
                        <w:b/>
                        <w:color w:val="FFFFFF" w:themeColor="background1"/>
                        <w:sz w:val="18"/>
                        <w:szCs w:val="18"/>
                      </w:rPr>
                    </w:pPr>
                    <w:r>
                      <w:rPr>
                        <w:b/>
                        <w:color w:val="FFFFFF" w:themeColor="background1"/>
                        <w:sz w:val="18"/>
                        <w:szCs w:val="18"/>
                      </w:rPr>
                      <w:t>Page</w:t>
                    </w:r>
                    <w:r w:rsidRPr="00786707">
                      <w:rPr>
                        <w:b/>
                        <w:color w:val="FFFFFF" w:themeColor="background1"/>
                        <w:sz w:val="18"/>
                        <w:szCs w:val="18"/>
                      </w:rPr>
                      <w:t xml:space="preserve">: </w:t>
                    </w:r>
                    <w:r w:rsidRPr="00786707">
                      <w:rPr>
                        <w:b/>
                        <w:color w:val="FFFFFF" w:themeColor="background1"/>
                        <w:sz w:val="18"/>
                        <w:szCs w:val="18"/>
                      </w:rPr>
                      <w:fldChar w:fldCharType="begin"/>
                    </w:r>
                    <w:r w:rsidRPr="00786707">
                      <w:rPr>
                        <w:b/>
                        <w:color w:val="FFFFFF" w:themeColor="background1"/>
                        <w:sz w:val="18"/>
                        <w:szCs w:val="18"/>
                      </w:rPr>
                      <w:instrText xml:space="preserve"> PAGE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r w:rsidRPr="00786707">
                      <w:rPr>
                        <w:b/>
                        <w:color w:val="FFFFFF" w:themeColor="background1"/>
                        <w:sz w:val="18"/>
                        <w:szCs w:val="18"/>
                      </w:rPr>
                      <w:t xml:space="preserve"> of </w:t>
                    </w:r>
                    <w:r w:rsidRPr="00786707">
                      <w:rPr>
                        <w:b/>
                        <w:color w:val="FFFFFF" w:themeColor="background1"/>
                        <w:sz w:val="18"/>
                        <w:szCs w:val="18"/>
                      </w:rPr>
                      <w:fldChar w:fldCharType="begin"/>
                    </w:r>
                    <w:r w:rsidRPr="00786707">
                      <w:rPr>
                        <w:b/>
                        <w:color w:val="FFFFFF" w:themeColor="background1"/>
                        <w:sz w:val="18"/>
                        <w:szCs w:val="18"/>
                      </w:rPr>
                      <w:instrText xml:space="preserve"> NUMPAGES  \* Arabic  \* MERGEFORMAT </w:instrText>
                    </w:r>
                    <w:r w:rsidRPr="00786707">
                      <w:rPr>
                        <w:b/>
                        <w:color w:val="FFFFFF" w:themeColor="background1"/>
                        <w:sz w:val="18"/>
                        <w:szCs w:val="18"/>
                      </w:rPr>
                      <w:fldChar w:fldCharType="separate"/>
                    </w:r>
                    <w:r>
                      <w:rPr>
                        <w:b/>
                        <w:color w:val="FFFFFF" w:themeColor="background1"/>
                        <w:sz w:val="18"/>
                        <w:szCs w:val="18"/>
                      </w:rPr>
                      <w:t>2</w:t>
                    </w:r>
                    <w:r w:rsidRPr="00786707">
                      <w:rPr>
                        <w:b/>
                        <w:color w:val="FFFFFF" w:themeColor="background1"/>
                        <w:sz w:val="18"/>
                        <w:szCs w:val="18"/>
                      </w:rPr>
                      <w:fldChar w:fldCharType="end"/>
                    </w:r>
                  </w:p>
                  <w:p w14:paraId="3AB7E402" w14:textId="77777777" w:rsidR="0056554C" w:rsidRPr="00E62351" w:rsidRDefault="0056554C" w:rsidP="0056554C">
                    <w:pPr>
                      <w:pStyle w:val="Footer"/>
                      <w:rPr>
                        <w:b/>
                        <w:color w:val="FFFFFF" w:themeColor="background1"/>
                        <w:sz w:val="18"/>
                        <w:szCs w:val="18"/>
                      </w:rPr>
                    </w:pPr>
                  </w:p>
                  <w:p w14:paraId="3BB2E4C3" w14:textId="77777777" w:rsidR="0056554C" w:rsidRDefault="0056554C" w:rsidP="0056554C">
                    <w:pPr>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580E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7B57"/>
    <w:multiLevelType w:val="multilevel"/>
    <w:tmpl w:val="A85EBB82"/>
    <w:lvl w:ilvl="0">
      <w:start w:val="1"/>
      <w:numFmt w:val="decimal"/>
      <w:pStyle w:val="StyleListParagraph12ptBoldHEAD2"/>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60C2D8A"/>
    <w:multiLevelType w:val="hybridMultilevel"/>
    <w:tmpl w:val="7200E2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8E5603"/>
    <w:multiLevelType w:val="hybridMultilevel"/>
    <w:tmpl w:val="D7403B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3C4767E"/>
    <w:multiLevelType w:val="hybridMultilevel"/>
    <w:tmpl w:val="2CE228A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7A13589"/>
    <w:multiLevelType w:val="hybridMultilevel"/>
    <w:tmpl w:val="45624514"/>
    <w:lvl w:ilvl="0" w:tplc="67546C44">
      <w:start w:val="1"/>
      <w:numFmt w:val="bullet"/>
      <w:pStyle w:val="POPR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E7900"/>
    <w:multiLevelType w:val="multilevel"/>
    <w:tmpl w:val="C772E6CA"/>
    <w:lvl w:ilvl="0">
      <w:start w:val="1"/>
      <w:numFmt w:val="decimal"/>
      <w:lvlText w:val="%1."/>
      <w:lvlJc w:val="left"/>
      <w:pPr>
        <w:ind w:left="927" w:hanging="360"/>
      </w:pPr>
    </w:lvl>
    <w:lvl w:ilvl="1">
      <w:start w:val="2"/>
      <w:numFmt w:val="decimal"/>
      <w:isLgl/>
      <w:lvlText w:val="%1.%2"/>
      <w:lvlJc w:val="left"/>
      <w:pPr>
        <w:ind w:left="1131" w:hanging="56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5950317"/>
    <w:multiLevelType w:val="hybridMultilevel"/>
    <w:tmpl w:val="4BCC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A78DD"/>
    <w:multiLevelType w:val="hybridMultilevel"/>
    <w:tmpl w:val="0094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6143F3"/>
    <w:multiLevelType w:val="multilevel"/>
    <w:tmpl w:val="FDF8D49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2DC6EAF"/>
    <w:multiLevelType w:val="hybridMultilevel"/>
    <w:tmpl w:val="60C25E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B">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FD2C62"/>
    <w:multiLevelType w:val="hybridMultilevel"/>
    <w:tmpl w:val="EC7034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629"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7262E1"/>
    <w:multiLevelType w:val="multilevel"/>
    <w:tmpl w:val="4E046D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97B75C3"/>
    <w:multiLevelType w:val="hybridMultilevel"/>
    <w:tmpl w:val="496E8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F96FD7"/>
    <w:multiLevelType w:val="multilevel"/>
    <w:tmpl w:val="22C6924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11055EA"/>
    <w:multiLevelType w:val="multilevel"/>
    <w:tmpl w:val="5FE4260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4372A37"/>
    <w:multiLevelType w:val="hybridMultilevel"/>
    <w:tmpl w:val="B1323FB6"/>
    <w:lvl w:ilvl="0" w:tplc="A1C6BDC6">
      <w:start w:val="1"/>
      <w:numFmt w:val="lowerLetter"/>
      <w:pStyle w:val="POPR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C36548"/>
    <w:multiLevelType w:val="hybridMultilevel"/>
    <w:tmpl w:val="95820FCE"/>
    <w:lvl w:ilvl="0" w:tplc="A09C1AB2">
      <w:start w:val="1"/>
      <w:numFmt w:val="decimal"/>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8" w15:restartNumberingAfterBreak="0">
    <w:nsid w:val="4AE04149"/>
    <w:multiLevelType w:val="multilevel"/>
    <w:tmpl w:val="4E046D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55905E6"/>
    <w:multiLevelType w:val="hybridMultilevel"/>
    <w:tmpl w:val="89E239BE"/>
    <w:lvl w:ilvl="0" w:tplc="1CD0B72E">
      <w:start w:val="1"/>
      <w:numFmt w:val="bullet"/>
      <w:lvlText w:val="-"/>
      <w:lvlJc w:val="left"/>
      <w:pPr>
        <w:ind w:left="1741" w:hanging="360"/>
      </w:pPr>
      <w:rPr>
        <w:rFonts w:ascii="Courier New" w:hAnsi="Courier New" w:hint="default"/>
      </w:rPr>
    </w:lvl>
    <w:lvl w:ilvl="1" w:tplc="0C09000B">
      <w:start w:val="1"/>
      <w:numFmt w:val="bullet"/>
      <w:lvlText w:val=""/>
      <w:lvlJc w:val="left"/>
      <w:pPr>
        <w:ind w:left="2461" w:hanging="360"/>
      </w:pPr>
      <w:rPr>
        <w:rFonts w:ascii="Wingdings" w:hAnsi="Wingding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599624F4"/>
    <w:multiLevelType w:val="multilevel"/>
    <w:tmpl w:val="D3502080"/>
    <w:lvl w:ilvl="0">
      <w:start w:val="3"/>
      <w:numFmt w:val="decimal"/>
      <w:lvlText w:val="%1"/>
      <w:lvlJc w:val="left"/>
      <w:pPr>
        <w:ind w:left="360" w:hanging="360"/>
      </w:pPr>
      <w:rPr>
        <w:rFonts w:hint="default"/>
      </w:rPr>
    </w:lvl>
    <w:lvl w:ilvl="1">
      <w:start w:val="2"/>
      <w:numFmt w:val="decimal"/>
      <w:lvlText w:val="%1.%2"/>
      <w:lvlJc w:val="left"/>
      <w:pPr>
        <w:ind w:left="1491"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21" w15:restartNumberingAfterBreak="0">
    <w:nsid w:val="5BC0108E"/>
    <w:multiLevelType w:val="multilevel"/>
    <w:tmpl w:val="4E046D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26A4DA3"/>
    <w:multiLevelType w:val="multilevel"/>
    <w:tmpl w:val="7D603EFC"/>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3" w15:restartNumberingAfterBreak="0">
    <w:nsid w:val="63DE0FF1"/>
    <w:multiLevelType w:val="multilevel"/>
    <w:tmpl w:val="4E046DD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8C92EE7"/>
    <w:multiLevelType w:val="hybridMultilevel"/>
    <w:tmpl w:val="FB78C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7C0C8E"/>
    <w:multiLevelType w:val="hybridMultilevel"/>
    <w:tmpl w:val="A3126AD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16"/>
  </w:num>
  <w:num w:numId="6">
    <w:abstractNumId w:val="1"/>
  </w:num>
  <w:num w:numId="7">
    <w:abstractNumId w:val="17"/>
  </w:num>
  <w:num w:numId="8">
    <w:abstractNumId w:val="7"/>
  </w:num>
  <w:num w:numId="9">
    <w:abstractNumId w:val="2"/>
  </w:num>
  <w:num w:numId="10">
    <w:abstractNumId w:val="9"/>
  </w:num>
  <w:num w:numId="11">
    <w:abstractNumId w:val="14"/>
  </w:num>
  <w:num w:numId="12">
    <w:abstractNumId w:val="12"/>
  </w:num>
  <w:num w:numId="13">
    <w:abstractNumId w:val="18"/>
  </w:num>
  <w:num w:numId="14">
    <w:abstractNumId w:val="21"/>
  </w:num>
  <w:num w:numId="15">
    <w:abstractNumId w:val="11"/>
  </w:num>
  <w:num w:numId="16">
    <w:abstractNumId w:val="23"/>
  </w:num>
  <w:num w:numId="17">
    <w:abstractNumId w:val="15"/>
  </w:num>
  <w:num w:numId="18">
    <w:abstractNumId w:val="22"/>
  </w:num>
  <w:num w:numId="19">
    <w:abstractNumId w:val="24"/>
  </w:num>
  <w:num w:numId="20">
    <w:abstractNumId w:val="5"/>
  </w:num>
  <w:num w:numId="21">
    <w:abstractNumId w:val="13"/>
  </w:num>
  <w:num w:numId="22">
    <w:abstractNumId w:val="4"/>
  </w:num>
  <w:num w:numId="23">
    <w:abstractNumId w:val="6"/>
  </w:num>
  <w:num w:numId="24">
    <w:abstractNumId w:val="25"/>
  </w:num>
  <w:num w:numId="25">
    <w:abstractNumId w:val="3"/>
  </w:num>
  <w:num w:numId="26">
    <w:abstractNumId w:val="10"/>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zWytDAzNDAwtrRQ0lEKTi0uzszPAykwrAUATEvshCwAAAA="/>
  </w:docVars>
  <w:rsids>
    <w:rsidRoot w:val="00906311"/>
    <w:rsid w:val="000010A4"/>
    <w:rsid w:val="0000493B"/>
    <w:rsid w:val="000175BD"/>
    <w:rsid w:val="00023FD1"/>
    <w:rsid w:val="00042254"/>
    <w:rsid w:val="00070007"/>
    <w:rsid w:val="0007730C"/>
    <w:rsid w:val="00095DB5"/>
    <w:rsid w:val="000C6F97"/>
    <w:rsid w:val="000D2FE3"/>
    <w:rsid w:val="00110E95"/>
    <w:rsid w:val="00136A4B"/>
    <w:rsid w:val="001454DC"/>
    <w:rsid w:val="00163DFC"/>
    <w:rsid w:val="001A6C2F"/>
    <w:rsid w:val="001B713B"/>
    <w:rsid w:val="001E2858"/>
    <w:rsid w:val="00217EA1"/>
    <w:rsid w:val="00220958"/>
    <w:rsid w:val="0023689F"/>
    <w:rsid w:val="0024123C"/>
    <w:rsid w:val="0025105F"/>
    <w:rsid w:val="002554D4"/>
    <w:rsid w:val="002836E8"/>
    <w:rsid w:val="002A5AAE"/>
    <w:rsid w:val="002A7B57"/>
    <w:rsid w:val="002E1ED8"/>
    <w:rsid w:val="003113E4"/>
    <w:rsid w:val="0033709D"/>
    <w:rsid w:val="00340625"/>
    <w:rsid w:val="00367568"/>
    <w:rsid w:val="0037151E"/>
    <w:rsid w:val="0037636F"/>
    <w:rsid w:val="003C3097"/>
    <w:rsid w:val="00401478"/>
    <w:rsid w:val="0041241D"/>
    <w:rsid w:val="00430B79"/>
    <w:rsid w:val="004600B0"/>
    <w:rsid w:val="00464077"/>
    <w:rsid w:val="00464DCE"/>
    <w:rsid w:val="00471BF8"/>
    <w:rsid w:val="00483563"/>
    <w:rsid w:val="004837EE"/>
    <w:rsid w:val="00492421"/>
    <w:rsid w:val="004B6C5B"/>
    <w:rsid w:val="004D1A51"/>
    <w:rsid w:val="004D39F5"/>
    <w:rsid w:val="004E7130"/>
    <w:rsid w:val="005045C6"/>
    <w:rsid w:val="005135D7"/>
    <w:rsid w:val="0051745E"/>
    <w:rsid w:val="0052584B"/>
    <w:rsid w:val="00540050"/>
    <w:rsid w:val="0055361E"/>
    <w:rsid w:val="00553B73"/>
    <w:rsid w:val="0056469D"/>
    <w:rsid w:val="0056554C"/>
    <w:rsid w:val="00567533"/>
    <w:rsid w:val="00576D45"/>
    <w:rsid w:val="005A0932"/>
    <w:rsid w:val="0060167E"/>
    <w:rsid w:val="006330D0"/>
    <w:rsid w:val="00637F78"/>
    <w:rsid w:val="00644A8A"/>
    <w:rsid w:val="00671B4C"/>
    <w:rsid w:val="00682D68"/>
    <w:rsid w:val="0069053F"/>
    <w:rsid w:val="006E263E"/>
    <w:rsid w:val="007429E5"/>
    <w:rsid w:val="00752C2A"/>
    <w:rsid w:val="00761E1B"/>
    <w:rsid w:val="00763268"/>
    <w:rsid w:val="00786707"/>
    <w:rsid w:val="007B6332"/>
    <w:rsid w:val="007D025A"/>
    <w:rsid w:val="007D092C"/>
    <w:rsid w:val="007D441E"/>
    <w:rsid w:val="007E5079"/>
    <w:rsid w:val="00813A0B"/>
    <w:rsid w:val="008145E9"/>
    <w:rsid w:val="00814F57"/>
    <w:rsid w:val="00826A9B"/>
    <w:rsid w:val="008307F8"/>
    <w:rsid w:val="008331E0"/>
    <w:rsid w:val="00855C9F"/>
    <w:rsid w:val="00876EBC"/>
    <w:rsid w:val="0088312C"/>
    <w:rsid w:val="008A11D3"/>
    <w:rsid w:val="008C318A"/>
    <w:rsid w:val="008D40BE"/>
    <w:rsid w:val="008E253A"/>
    <w:rsid w:val="008E313C"/>
    <w:rsid w:val="008F38B5"/>
    <w:rsid w:val="008F7A9F"/>
    <w:rsid w:val="00906311"/>
    <w:rsid w:val="00913AF5"/>
    <w:rsid w:val="00930C9A"/>
    <w:rsid w:val="0097458C"/>
    <w:rsid w:val="009A639D"/>
    <w:rsid w:val="009C214A"/>
    <w:rsid w:val="009C4F2F"/>
    <w:rsid w:val="009E5E2A"/>
    <w:rsid w:val="009F0C8C"/>
    <w:rsid w:val="00A01767"/>
    <w:rsid w:val="00A15C20"/>
    <w:rsid w:val="00A54BD9"/>
    <w:rsid w:val="00A54EF7"/>
    <w:rsid w:val="00A872DD"/>
    <w:rsid w:val="00AB5DC0"/>
    <w:rsid w:val="00B4286E"/>
    <w:rsid w:val="00B6657F"/>
    <w:rsid w:val="00B8726E"/>
    <w:rsid w:val="00B94A81"/>
    <w:rsid w:val="00BA2C41"/>
    <w:rsid w:val="00BA4990"/>
    <w:rsid w:val="00BA513B"/>
    <w:rsid w:val="00BC6CDB"/>
    <w:rsid w:val="00BD2B8C"/>
    <w:rsid w:val="00BF319A"/>
    <w:rsid w:val="00C5077C"/>
    <w:rsid w:val="00C65AEA"/>
    <w:rsid w:val="00C713C1"/>
    <w:rsid w:val="00C7725D"/>
    <w:rsid w:val="00C85C03"/>
    <w:rsid w:val="00CA24F0"/>
    <w:rsid w:val="00CB5877"/>
    <w:rsid w:val="00D41707"/>
    <w:rsid w:val="00D4508A"/>
    <w:rsid w:val="00D55567"/>
    <w:rsid w:val="00D60C11"/>
    <w:rsid w:val="00D73A4A"/>
    <w:rsid w:val="00D918DE"/>
    <w:rsid w:val="00DB6771"/>
    <w:rsid w:val="00DD5C74"/>
    <w:rsid w:val="00DE5D27"/>
    <w:rsid w:val="00E054B2"/>
    <w:rsid w:val="00E118A6"/>
    <w:rsid w:val="00E31AC5"/>
    <w:rsid w:val="00E43197"/>
    <w:rsid w:val="00E433E4"/>
    <w:rsid w:val="00E54430"/>
    <w:rsid w:val="00E548F9"/>
    <w:rsid w:val="00E62351"/>
    <w:rsid w:val="00E75836"/>
    <w:rsid w:val="00E82705"/>
    <w:rsid w:val="00EA33D9"/>
    <w:rsid w:val="00EA7DD0"/>
    <w:rsid w:val="00EB2D6E"/>
    <w:rsid w:val="00EC62B2"/>
    <w:rsid w:val="00ED3E8C"/>
    <w:rsid w:val="00EE1CA4"/>
    <w:rsid w:val="00EE49ED"/>
    <w:rsid w:val="00F13BEF"/>
    <w:rsid w:val="00F23713"/>
    <w:rsid w:val="00F52F38"/>
    <w:rsid w:val="00F90073"/>
    <w:rsid w:val="00F94FB7"/>
    <w:rsid w:val="00FD7D2B"/>
    <w:rsid w:val="00FE33DF"/>
    <w:rsid w:val="00FF2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F3418"/>
  <w15:chartTrackingRefBased/>
  <w15:docId w15:val="{8720CA64-DDD7-43CB-A9AD-A0A9BFEE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705"/>
    <w:pPr>
      <w:spacing w:before="60" w:after="60" w:line="240" w:lineRule="auto"/>
    </w:pPr>
    <w:rPr>
      <w:rFonts w:ascii="Arial" w:hAnsi="Arial"/>
    </w:rPr>
  </w:style>
  <w:style w:type="paragraph" w:styleId="Heading1">
    <w:name w:val="heading 1"/>
    <w:basedOn w:val="Normal"/>
    <w:next w:val="Normal"/>
    <w:link w:val="Heading1Char"/>
    <w:uiPriority w:val="9"/>
    <w:qFormat/>
    <w:rsid w:val="00E82705"/>
    <w:pPr>
      <w:keepNext/>
      <w:keepLines/>
      <w:spacing w:after="120"/>
      <w:outlineLvl w:val="0"/>
    </w:pPr>
    <w:rPr>
      <w:rFonts w:eastAsiaTheme="majorEastAsia" w:cstheme="majorBidi"/>
      <w:b/>
      <w:bCs/>
      <w:color w:val="4085C6"/>
      <w:sz w:val="44"/>
      <w:szCs w:val="28"/>
    </w:rPr>
  </w:style>
  <w:style w:type="paragraph" w:styleId="Heading2">
    <w:name w:val="heading 2"/>
    <w:basedOn w:val="Normal"/>
    <w:next w:val="Normal"/>
    <w:link w:val="Heading2Char"/>
    <w:uiPriority w:val="9"/>
    <w:unhideWhenUsed/>
    <w:qFormat/>
    <w:rsid w:val="00E82705"/>
    <w:pPr>
      <w:keepNext/>
      <w:keepLines/>
      <w:spacing w:after="120"/>
      <w:outlineLvl w:val="1"/>
    </w:pPr>
    <w:rPr>
      <w:rFonts w:eastAsiaTheme="majorEastAsia" w:cstheme="majorBidi"/>
      <w:b/>
      <w:bCs/>
      <w:color w:val="4085C6"/>
      <w:sz w:val="28"/>
      <w:szCs w:val="26"/>
    </w:rPr>
  </w:style>
  <w:style w:type="paragraph" w:styleId="Heading3">
    <w:name w:val="heading 3"/>
    <w:basedOn w:val="Normal"/>
    <w:next w:val="Normal"/>
    <w:link w:val="Heading3Char"/>
    <w:uiPriority w:val="9"/>
    <w:unhideWhenUsed/>
    <w:qFormat/>
    <w:rsid w:val="00E82705"/>
    <w:pPr>
      <w:keepNext/>
      <w:keepLines/>
      <w:outlineLvl w:val="2"/>
    </w:pPr>
    <w:rPr>
      <w:rFonts w:eastAsiaTheme="majorEastAsia" w:cstheme="majorBidi"/>
      <w:b/>
      <w:bCs/>
      <w:color w:val="4085C6"/>
      <w:sz w:val="24"/>
    </w:rPr>
  </w:style>
  <w:style w:type="paragraph" w:styleId="Heading4">
    <w:name w:val="heading 4"/>
    <w:basedOn w:val="Normal"/>
    <w:next w:val="Normal"/>
    <w:link w:val="Heading4Char"/>
    <w:uiPriority w:val="9"/>
    <w:unhideWhenUsed/>
    <w:rsid w:val="00E82705"/>
    <w:pPr>
      <w:keepNext/>
      <w:keepLines/>
      <w:spacing w:before="200"/>
      <w:outlineLvl w:val="3"/>
    </w:pPr>
    <w:rPr>
      <w:rFonts w:eastAsiaTheme="majorEastAsia" w:cstheme="majorBidi"/>
      <w:b/>
      <w:bCs/>
      <w:iCs/>
      <w:color w:val="84BD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05"/>
    <w:rPr>
      <w:rFonts w:ascii="Tahoma" w:hAnsi="Tahoma" w:cs="Tahoma"/>
      <w:sz w:val="16"/>
      <w:szCs w:val="16"/>
    </w:rPr>
  </w:style>
  <w:style w:type="character" w:customStyle="1" w:styleId="Heading1Char">
    <w:name w:val="Heading 1 Char"/>
    <w:basedOn w:val="DefaultParagraphFont"/>
    <w:link w:val="Heading1"/>
    <w:uiPriority w:val="9"/>
    <w:rsid w:val="00E82705"/>
    <w:rPr>
      <w:rFonts w:ascii="Arial" w:eastAsiaTheme="majorEastAsia" w:hAnsi="Arial" w:cstheme="majorBidi"/>
      <w:b/>
      <w:bCs/>
      <w:color w:val="4085C6"/>
      <w:sz w:val="44"/>
      <w:szCs w:val="28"/>
    </w:rPr>
  </w:style>
  <w:style w:type="character" w:customStyle="1" w:styleId="Heading2Char">
    <w:name w:val="Heading 2 Char"/>
    <w:basedOn w:val="DefaultParagraphFont"/>
    <w:link w:val="Heading2"/>
    <w:uiPriority w:val="9"/>
    <w:rsid w:val="00E82705"/>
    <w:rPr>
      <w:rFonts w:ascii="Arial" w:eastAsiaTheme="majorEastAsia" w:hAnsi="Arial" w:cstheme="majorBidi"/>
      <w:b/>
      <w:bCs/>
      <w:color w:val="4085C6"/>
      <w:sz w:val="28"/>
      <w:szCs w:val="26"/>
    </w:rPr>
  </w:style>
  <w:style w:type="character" w:customStyle="1" w:styleId="Heading3Char">
    <w:name w:val="Heading 3 Char"/>
    <w:basedOn w:val="DefaultParagraphFont"/>
    <w:link w:val="Heading3"/>
    <w:uiPriority w:val="9"/>
    <w:rsid w:val="00E82705"/>
    <w:rPr>
      <w:rFonts w:ascii="Arial" w:eastAsiaTheme="majorEastAsia" w:hAnsi="Arial" w:cstheme="majorBidi"/>
      <w:b/>
      <w:bCs/>
      <w:color w:val="4085C6"/>
      <w:sz w:val="24"/>
    </w:rPr>
  </w:style>
  <w:style w:type="character" w:customStyle="1" w:styleId="Heading4Char">
    <w:name w:val="Heading 4 Char"/>
    <w:basedOn w:val="DefaultParagraphFont"/>
    <w:link w:val="Heading4"/>
    <w:uiPriority w:val="9"/>
    <w:rsid w:val="00E82705"/>
    <w:rPr>
      <w:rFonts w:ascii="Arial" w:eastAsiaTheme="majorEastAsia" w:hAnsi="Arial" w:cstheme="majorBidi"/>
      <w:b/>
      <w:bCs/>
      <w:iCs/>
      <w:color w:val="84BD00"/>
      <w:sz w:val="24"/>
    </w:rPr>
  </w:style>
  <w:style w:type="paragraph" w:styleId="NoSpacing">
    <w:name w:val="No Spacing"/>
    <w:link w:val="NoSpacingChar"/>
    <w:uiPriority w:val="1"/>
    <w:qFormat/>
    <w:rsid w:val="00E82705"/>
    <w:pPr>
      <w:spacing w:after="0" w:line="240" w:lineRule="auto"/>
    </w:pPr>
    <w:rPr>
      <w:rFonts w:ascii="Arial" w:hAnsi="Arial"/>
    </w:rPr>
  </w:style>
  <w:style w:type="paragraph" w:styleId="Title">
    <w:name w:val="Title"/>
    <w:basedOn w:val="Normal"/>
    <w:next w:val="Normal"/>
    <w:link w:val="TitleChar"/>
    <w:uiPriority w:val="10"/>
    <w:qFormat/>
    <w:rsid w:val="00E82705"/>
    <w:pPr>
      <w:pBdr>
        <w:bottom w:val="single" w:sz="8" w:space="4" w:color="4F81BD" w:themeColor="accent1"/>
      </w:pBdr>
      <w:spacing w:after="300"/>
      <w:contextualSpacing/>
    </w:pPr>
    <w:rPr>
      <w:rFonts w:eastAsiaTheme="majorEastAsia" w:cstheme="majorBidi"/>
      <w:color w:val="6384BD"/>
      <w:spacing w:val="5"/>
      <w:kern w:val="28"/>
      <w:sz w:val="52"/>
      <w:szCs w:val="52"/>
    </w:rPr>
  </w:style>
  <w:style w:type="character" w:customStyle="1" w:styleId="TitleChar">
    <w:name w:val="Title Char"/>
    <w:basedOn w:val="DefaultParagraphFont"/>
    <w:link w:val="Title"/>
    <w:uiPriority w:val="10"/>
    <w:rsid w:val="00E82705"/>
    <w:rPr>
      <w:rFonts w:ascii="Arial" w:eastAsiaTheme="majorEastAsia" w:hAnsi="Arial" w:cstheme="majorBidi"/>
      <w:color w:val="6384BD"/>
      <w:spacing w:val="5"/>
      <w:kern w:val="28"/>
      <w:sz w:val="52"/>
      <w:szCs w:val="52"/>
    </w:rPr>
  </w:style>
  <w:style w:type="paragraph" w:styleId="Subtitle">
    <w:name w:val="Subtitle"/>
    <w:basedOn w:val="Normal"/>
    <w:next w:val="Normal"/>
    <w:link w:val="SubtitleChar"/>
    <w:uiPriority w:val="11"/>
    <w:qFormat/>
    <w:rsid w:val="00E82705"/>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2705"/>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E82705"/>
    <w:rPr>
      <w:rFonts w:ascii="Arial" w:hAnsi="Arial"/>
      <w:i/>
      <w:iCs/>
      <w:color w:val="auto"/>
    </w:rPr>
  </w:style>
  <w:style w:type="character" w:styleId="Emphasis">
    <w:name w:val="Emphasis"/>
    <w:basedOn w:val="DefaultParagraphFont"/>
    <w:uiPriority w:val="20"/>
    <w:qFormat/>
    <w:rsid w:val="00E82705"/>
    <w:rPr>
      <w:rFonts w:ascii="Arial" w:hAnsi="Arial"/>
      <w:i/>
      <w:iCs/>
    </w:rPr>
  </w:style>
  <w:style w:type="character" w:styleId="IntenseEmphasis">
    <w:name w:val="Intense Emphasis"/>
    <w:basedOn w:val="DefaultParagraphFont"/>
    <w:uiPriority w:val="21"/>
    <w:qFormat/>
    <w:rsid w:val="00E82705"/>
    <w:rPr>
      <w:rFonts w:ascii="Arial" w:hAnsi="Arial"/>
      <w:b/>
      <w:bCs/>
      <w:i/>
      <w:iCs/>
      <w:color w:val="4F81BD" w:themeColor="accent1"/>
    </w:rPr>
  </w:style>
  <w:style w:type="character" w:styleId="SubtleReference">
    <w:name w:val="Subtle Reference"/>
    <w:basedOn w:val="DefaultParagraphFont"/>
    <w:uiPriority w:val="31"/>
    <w:qFormat/>
    <w:rsid w:val="00E82705"/>
    <w:rPr>
      <w:rFonts w:ascii="Arial" w:hAnsi="Arial"/>
      <w:smallCaps/>
      <w:color w:val="B4C960"/>
      <w:u w:val="single"/>
    </w:rPr>
  </w:style>
  <w:style w:type="character" w:styleId="IntenseReference">
    <w:name w:val="Intense Reference"/>
    <w:basedOn w:val="DefaultParagraphFont"/>
    <w:uiPriority w:val="32"/>
    <w:qFormat/>
    <w:rsid w:val="00E82705"/>
    <w:rPr>
      <w:rFonts w:ascii="Arial" w:hAnsi="Arial"/>
      <w:b/>
      <w:bCs/>
      <w:smallCaps/>
      <w:color w:val="auto"/>
      <w:spacing w:val="5"/>
      <w:u w:val="single"/>
    </w:rPr>
  </w:style>
  <w:style w:type="character" w:styleId="BookTitle">
    <w:name w:val="Book Title"/>
    <w:basedOn w:val="DefaultParagraphFont"/>
    <w:uiPriority w:val="33"/>
    <w:qFormat/>
    <w:rsid w:val="00E82705"/>
    <w:rPr>
      <w:rFonts w:ascii="Arial" w:hAnsi="Arial"/>
      <w:b/>
      <w:bCs/>
      <w:smallCaps/>
      <w:spacing w:val="5"/>
    </w:rPr>
  </w:style>
  <w:style w:type="paragraph" w:styleId="ListParagraph">
    <w:name w:val="List Paragraph"/>
    <w:basedOn w:val="Normal"/>
    <w:link w:val="ListParagraphChar"/>
    <w:uiPriority w:val="34"/>
    <w:qFormat/>
    <w:rsid w:val="00E82705"/>
    <w:pPr>
      <w:ind w:left="720"/>
      <w:contextualSpacing/>
    </w:pPr>
  </w:style>
  <w:style w:type="paragraph" w:styleId="Header">
    <w:name w:val="header"/>
    <w:basedOn w:val="Normal"/>
    <w:link w:val="HeaderChar"/>
    <w:uiPriority w:val="99"/>
    <w:unhideWhenUsed/>
    <w:rsid w:val="00E82705"/>
    <w:pPr>
      <w:tabs>
        <w:tab w:val="center" w:pos="4513"/>
        <w:tab w:val="right" w:pos="9026"/>
      </w:tabs>
    </w:pPr>
  </w:style>
  <w:style w:type="character" w:customStyle="1" w:styleId="HeaderChar">
    <w:name w:val="Header Char"/>
    <w:basedOn w:val="DefaultParagraphFont"/>
    <w:link w:val="Header"/>
    <w:uiPriority w:val="99"/>
    <w:rsid w:val="00E82705"/>
    <w:rPr>
      <w:rFonts w:ascii="Arial" w:hAnsi="Arial"/>
    </w:rPr>
  </w:style>
  <w:style w:type="paragraph" w:styleId="Footer">
    <w:name w:val="footer"/>
    <w:basedOn w:val="Normal"/>
    <w:link w:val="FooterChar"/>
    <w:uiPriority w:val="99"/>
    <w:unhideWhenUsed/>
    <w:rsid w:val="00E82705"/>
    <w:pPr>
      <w:tabs>
        <w:tab w:val="center" w:pos="4513"/>
        <w:tab w:val="right" w:pos="9026"/>
      </w:tabs>
    </w:pPr>
  </w:style>
  <w:style w:type="character" w:customStyle="1" w:styleId="FooterChar">
    <w:name w:val="Footer Char"/>
    <w:basedOn w:val="DefaultParagraphFont"/>
    <w:link w:val="Footer"/>
    <w:uiPriority w:val="99"/>
    <w:rsid w:val="00E82705"/>
    <w:rPr>
      <w:rFonts w:ascii="Arial" w:hAnsi="Arial"/>
    </w:rPr>
  </w:style>
  <w:style w:type="paragraph" w:styleId="ListBullet">
    <w:name w:val="List Bullet"/>
    <w:basedOn w:val="Normal"/>
    <w:uiPriority w:val="99"/>
    <w:unhideWhenUsed/>
    <w:rsid w:val="00E82705"/>
    <w:pPr>
      <w:numPr>
        <w:numId w:val="4"/>
      </w:numPr>
      <w:contextualSpacing/>
    </w:pPr>
  </w:style>
  <w:style w:type="character" w:customStyle="1" w:styleId="NoSpacingChar">
    <w:name w:val="No Spacing Char"/>
    <w:basedOn w:val="DefaultParagraphFont"/>
    <w:link w:val="NoSpacing"/>
    <w:uiPriority w:val="1"/>
    <w:rsid w:val="00E82705"/>
    <w:rPr>
      <w:rFonts w:ascii="Arial" w:hAnsi="Arial"/>
    </w:rPr>
  </w:style>
  <w:style w:type="paragraph" w:customStyle="1" w:styleId="Style1">
    <w:name w:val="Style1"/>
    <w:basedOn w:val="Heading3"/>
    <w:link w:val="Style1Char"/>
    <w:qFormat/>
    <w:rsid w:val="00E82705"/>
    <w:rPr>
      <w:rFonts w:cs="Arial"/>
      <w:color w:val="84BD00"/>
    </w:rPr>
  </w:style>
  <w:style w:type="character" w:customStyle="1" w:styleId="Style1Char">
    <w:name w:val="Style1 Char"/>
    <w:basedOn w:val="Heading3Char"/>
    <w:link w:val="Style1"/>
    <w:rsid w:val="00E82705"/>
    <w:rPr>
      <w:rFonts w:ascii="Arial" w:eastAsiaTheme="majorEastAsia" w:hAnsi="Arial" w:cs="Arial"/>
      <w:b/>
      <w:bCs/>
      <w:color w:val="84BD00"/>
      <w:sz w:val="24"/>
    </w:rPr>
  </w:style>
  <w:style w:type="paragraph" w:customStyle="1" w:styleId="9icm">
    <w:name w:val="_9icm"/>
    <w:basedOn w:val="Normal"/>
    <w:rsid w:val="00E82705"/>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8270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Webringourbest">
    <w:name w:val="We bring our best"/>
    <w:basedOn w:val="Heading3"/>
    <w:link w:val="WebringourbestChar"/>
    <w:qFormat/>
    <w:rsid w:val="00E82705"/>
    <w:rPr>
      <w:color w:val="84BD00"/>
    </w:rPr>
  </w:style>
  <w:style w:type="character" w:customStyle="1" w:styleId="WebringourbestChar">
    <w:name w:val="We bring our best Char"/>
    <w:basedOn w:val="Heading3Char"/>
    <w:link w:val="Webringourbest"/>
    <w:rsid w:val="00E82705"/>
    <w:rPr>
      <w:rFonts w:ascii="Arial" w:eastAsiaTheme="majorEastAsia" w:hAnsi="Arial" w:cstheme="majorBidi"/>
      <w:b/>
      <w:bCs/>
      <w:color w:val="84BD00"/>
      <w:sz w:val="24"/>
    </w:rPr>
  </w:style>
  <w:style w:type="paragraph" w:customStyle="1" w:styleId="Wecreatethefuture">
    <w:name w:val="We create the future"/>
    <w:basedOn w:val="Heading3"/>
    <w:link w:val="WecreatethefutureChar"/>
    <w:qFormat/>
    <w:rsid w:val="00E82705"/>
    <w:rPr>
      <w:color w:val="9E007E"/>
    </w:rPr>
  </w:style>
  <w:style w:type="character" w:customStyle="1" w:styleId="WecreatethefutureChar">
    <w:name w:val="We create the future Char"/>
    <w:basedOn w:val="Heading3Char"/>
    <w:link w:val="Wecreatethefuture"/>
    <w:rsid w:val="00E82705"/>
    <w:rPr>
      <w:rFonts w:ascii="Arial" w:eastAsiaTheme="majorEastAsia" w:hAnsi="Arial" w:cstheme="majorBidi"/>
      <w:b/>
      <w:bCs/>
      <w:color w:val="9E007E"/>
      <w:sz w:val="24"/>
    </w:rPr>
  </w:style>
  <w:style w:type="paragraph" w:customStyle="1" w:styleId="Wearestudentminded">
    <w:name w:val="We are student minded"/>
    <w:basedOn w:val="Heading3"/>
    <w:link w:val="WearestudentmindedChar"/>
    <w:qFormat/>
    <w:rsid w:val="00E82705"/>
    <w:rPr>
      <w:color w:val="DC582A"/>
    </w:rPr>
  </w:style>
  <w:style w:type="character" w:customStyle="1" w:styleId="WearestudentmindedChar">
    <w:name w:val="We are student minded Char"/>
    <w:basedOn w:val="Heading3Char"/>
    <w:link w:val="Wearestudentminded"/>
    <w:rsid w:val="00E82705"/>
    <w:rPr>
      <w:rFonts w:ascii="Arial" w:eastAsiaTheme="majorEastAsia" w:hAnsi="Arial" w:cstheme="majorBidi"/>
      <w:b/>
      <w:bCs/>
      <w:color w:val="DC582A"/>
      <w:sz w:val="24"/>
    </w:rPr>
  </w:style>
  <w:style w:type="paragraph" w:customStyle="1" w:styleId="SubHeading">
    <w:name w:val="SubHeading"/>
    <w:basedOn w:val="Normal"/>
    <w:link w:val="SubHeadingChar"/>
    <w:qFormat/>
    <w:rsid w:val="00E82705"/>
    <w:pPr>
      <w:spacing w:before="0" w:after="200" w:line="276" w:lineRule="auto"/>
    </w:pPr>
    <w:rPr>
      <w:rFonts w:cs="Arial"/>
      <w:b/>
      <w:i/>
      <w:color w:val="7F7F7F" w:themeColor="text1" w:themeTint="80"/>
    </w:rPr>
  </w:style>
  <w:style w:type="character" w:customStyle="1" w:styleId="SubHeadingChar">
    <w:name w:val="SubHeading Char"/>
    <w:basedOn w:val="DefaultParagraphFont"/>
    <w:link w:val="SubHeading"/>
    <w:rsid w:val="00E82705"/>
    <w:rPr>
      <w:rFonts w:ascii="Arial" w:hAnsi="Arial" w:cs="Arial"/>
      <w:b/>
      <w:i/>
      <w:color w:val="7F7F7F" w:themeColor="text1" w:themeTint="80"/>
    </w:rPr>
  </w:style>
  <w:style w:type="paragraph" w:customStyle="1" w:styleId="HeadingGreen">
    <w:name w:val="Heading Green"/>
    <w:basedOn w:val="Heading3"/>
    <w:link w:val="HeadingGreenChar"/>
    <w:rsid w:val="00E82705"/>
    <w:rPr>
      <w:rFonts w:cs="Arial"/>
      <w:color w:val="84BD00"/>
    </w:rPr>
  </w:style>
  <w:style w:type="character" w:customStyle="1" w:styleId="HeadingGreenChar">
    <w:name w:val="Heading Green Char"/>
    <w:basedOn w:val="Heading3Char"/>
    <w:link w:val="HeadingGreen"/>
    <w:rsid w:val="00E82705"/>
    <w:rPr>
      <w:rFonts w:ascii="Arial" w:eastAsiaTheme="majorEastAsia" w:hAnsi="Arial" w:cs="Arial"/>
      <w:b/>
      <w:bCs/>
      <w:color w:val="84BD00"/>
      <w:sz w:val="24"/>
    </w:rPr>
  </w:style>
  <w:style w:type="paragraph" w:customStyle="1" w:styleId="WeareTheGordon">
    <w:name w:val="We are The Gordon"/>
    <w:basedOn w:val="Heading3"/>
    <w:link w:val="WeareTheGordonChar"/>
    <w:qFormat/>
    <w:rsid w:val="00E82705"/>
  </w:style>
  <w:style w:type="character" w:customStyle="1" w:styleId="WeareTheGordonChar">
    <w:name w:val="We are The Gordon Char"/>
    <w:basedOn w:val="Heading3Char"/>
    <w:link w:val="WeareTheGordon"/>
    <w:rsid w:val="00E82705"/>
    <w:rPr>
      <w:rFonts w:ascii="Arial" w:eastAsiaTheme="majorEastAsia" w:hAnsi="Arial" w:cstheme="majorBidi"/>
      <w:b/>
      <w:bCs/>
      <w:color w:val="4085C6"/>
      <w:sz w:val="24"/>
    </w:rPr>
  </w:style>
  <w:style w:type="character" w:styleId="Hyperlink">
    <w:name w:val="Hyperlink"/>
    <w:basedOn w:val="DefaultParagraphFont"/>
    <w:uiPriority w:val="99"/>
    <w:rsid w:val="0037151E"/>
    <w:rPr>
      <w:color w:val="0000FF"/>
      <w:u w:val="single"/>
    </w:rPr>
  </w:style>
  <w:style w:type="character" w:customStyle="1" w:styleId="ListParagraphChar">
    <w:name w:val="List Paragraph Char"/>
    <w:basedOn w:val="DefaultParagraphFont"/>
    <w:link w:val="ListParagraph"/>
    <w:uiPriority w:val="34"/>
    <w:rsid w:val="00576D45"/>
    <w:rPr>
      <w:rFonts w:ascii="Arial" w:hAnsi="Arial"/>
    </w:rPr>
  </w:style>
  <w:style w:type="character" w:styleId="CommentReference">
    <w:name w:val="annotation reference"/>
    <w:basedOn w:val="DefaultParagraphFont"/>
    <w:semiHidden/>
    <w:unhideWhenUsed/>
    <w:rsid w:val="00576D45"/>
    <w:rPr>
      <w:sz w:val="16"/>
      <w:szCs w:val="16"/>
    </w:rPr>
  </w:style>
  <w:style w:type="paragraph" w:styleId="CommentText">
    <w:name w:val="annotation text"/>
    <w:basedOn w:val="Normal"/>
    <w:link w:val="CommentTextChar"/>
    <w:unhideWhenUsed/>
    <w:rsid w:val="00576D45"/>
    <w:pPr>
      <w:spacing w:before="0" w:after="0"/>
      <w:jc w:val="both"/>
    </w:pPr>
    <w:rPr>
      <w:sz w:val="20"/>
      <w:szCs w:val="20"/>
    </w:rPr>
  </w:style>
  <w:style w:type="character" w:customStyle="1" w:styleId="CommentTextChar">
    <w:name w:val="Comment Text Char"/>
    <w:basedOn w:val="DefaultParagraphFont"/>
    <w:link w:val="CommentText"/>
    <w:rsid w:val="00576D45"/>
    <w:rPr>
      <w:rFonts w:ascii="Arial" w:hAnsi="Arial"/>
      <w:sz w:val="20"/>
      <w:szCs w:val="20"/>
    </w:rPr>
  </w:style>
  <w:style w:type="paragraph" w:customStyle="1" w:styleId="POPRHeading3">
    <w:name w:val="PO PR Heading 3"/>
    <w:basedOn w:val="ListParagraph"/>
    <w:link w:val="POPRHeading3Char"/>
    <w:qFormat/>
    <w:rsid w:val="00576D45"/>
    <w:pPr>
      <w:numPr>
        <w:numId w:val="5"/>
      </w:numPr>
      <w:spacing w:before="0" w:after="0"/>
      <w:ind w:hanging="286"/>
      <w:jc w:val="both"/>
    </w:pPr>
    <w:rPr>
      <w:b/>
      <w:sz w:val="20"/>
      <w:szCs w:val="20"/>
    </w:rPr>
  </w:style>
  <w:style w:type="character" w:customStyle="1" w:styleId="POPRHeading3Char">
    <w:name w:val="PO PR Heading 3 Char"/>
    <w:basedOn w:val="ListParagraphChar"/>
    <w:link w:val="POPRHeading3"/>
    <w:rsid w:val="00576D45"/>
    <w:rPr>
      <w:rFonts w:ascii="Arial" w:hAnsi="Arial"/>
      <w:b/>
      <w:sz w:val="20"/>
      <w:szCs w:val="20"/>
    </w:rPr>
  </w:style>
  <w:style w:type="paragraph" w:customStyle="1" w:styleId="StyleListParagraph12ptBoldHEAD2">
    <w:name w:val="Style List Paragraph + 12 pt Bold HEAD 2"/>
    <w:basedOn w:val="ListParagraph"/>
    <w:rsid w:val="00576D45"/>
    <w:pPr>
      <w:numPr>
        <w:numId w:val="6"/>
      </w:numPr>
      <w:spacing w:before="0" w:after="0"/>
      <w:jc w:val="both"/>
    </w:pPr>
    <w:rPr>
      <w:b/>
      <w:bCs/>
      <w:sz w:val="24"/>
    </w:rPr>
  </w:style>
  <w:style w:type="paragraph" w:customStyle="1" w:styleId="POPRHEADING2">
    <w:name w:val="PO PR HEADING 2"/>
    <w:basedOn w:val="StyleListParagraph12ptBoldHEAD2"/>
    <w:link w:val="POPRHEADING2Char"/>
    <w:qFormat/>
    <w:rsid w:val="00576D45"/>
    <w:pPr>
      <w:spacing w:after="200"/>
      <w:ind w:left="425" w:hanging="425"/>
    </w:pPr>
  </w:style>
  <w:style w:type="character" w:customStyle="1" w:styleId="POPRHEADING2Char">
    <w:name w:val="PO PR HEADING 2 Char"/>
    <w:basedOn w:val="DefaultParagraphFont"/>
    <w:link w:val="POPRHEADING2"/>
    <w:rsid w:val="00576D45"/>
    <w:rPr>
      <w:rFonts w:ascii="Arial" w:hAnsi="Arial"/>
      <w:b/>
      <w:bCs/>
      <w:sz w:val="24"/>
    </w:rPr>
  </w:style>
  <w:style w:type="paragraph" w:customStyle="1" w:styleId="POHyperlink">
    <w:name w:val="PO Hyperlink"/>
    <w:basedOn w:val="Normal"/>
    <w:link w:val="POHyperlinkChar"/>
    <w:qFormat/>
    <w:rsid w:val="00576D45"/>
    <w:pPr>
      <w:spacing w:before="0" w:after="0"/>
      <w:ind w:left="426"/>
    </w:pPr>
    <w:rPr>
      <w:rFonts w:eastAsia="Times New Roman" w:cs="Arial"/>
      <w:color w:val="4F81BD" w:themeColor="accent1"/>
      <w:spacing w:val="-2"/>
      <w:sz w:val="20"/>
      <w:szCs w:val="20"/>
    </w:rPr>
  </w:style>
  <w:style w:type="character" w:customStyle="1" w:styleId="POHyperlinkChar">
    <w:name w:val="PO Hyperlink Char"/>
    <w:basedOn w:val="DefaultParagraphFont"/>
    <w:link w:val="POHyperlink"/>
    <w:rsid w:val="00576D45"/>
    <w:rPr>
      <w:rFonts w:ascii="Arial" w:eastAsia="Times New Roman" w:hAnsi="Arial" w:cs="Arial"/>
      <w:color w:val="4F81BD" w:themeColor="accent1"/>
      <w:spacing w:val="-2"/>
      <w:sz w:val="20"/>
      <w:szCs w:val="20"/>
    </w:rPr>
  </w:style>
  <w:style w:type="table" w:styleId="TableGrid">
    <w:name w:val="Table Grid"/>
    <w:basedOn w:val="TableNormal"/>
    <w:uiPriority w:val="59"/>
    <w:rsid w:val="005A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B6771"/>
    <w:pPr>
      <w:spacing w:before="60" w:after="60"/>
      <w:jc w:val="left"/>
    </w:pPr>
    <w:rPr>
      <w:b/>
      <w:bCs/>
    </w:rPr>
  </w:style>
  <w:style w:type="character" w:customStyle="1" w:styleId="CommentSubjectChar">
    <w:name w:val="Comment Subject Char"/>
    <w:basedOn w:val="CommentTextChar"/>
    <w:link w:val="CommentSubject"/>
    <w:uiPriority w:val="99"/>
    <w:semiHidden/>
    <w:rsid w:val="00DB6771"/>
    <w:rPr>
      <w:rFonts w:ascii="Arial" w:hAnsi="Arial"/>
      <w:b/>
      <w:bCs/>
      <w:sz w:val="20"/>
      <w:szCs w:val="20"/>
    </w:rPr>
  </w:style>
  <w:style w:type="paragraph" w:styleId="Revision">
    <w:name w:val="Revision"/>
    <w:hidden/>
    <w:uiPriority w:val="99"/>
    <w:semiHidden/>
    <w:rsid w:val="00DB6771"/>
    <w:pPr>
      <w:spacing w:after="0" w:line="240" w:lineRule="auto"/>
    </w:pPr>
    <w:rPr>
      <w:rFonts w:ascii="Arial" w:hAnsi="Arial"/>
    </w:rPr>
  </w:style>
  <w:style w:type="paragraph" w:customStyle="1" w:styleId="POPRBulletpoint">
    <w:name w:val="PO PR Bullet point"/>
    <w:basedOn w:val="ListParagraph"/>
    <w:qFormat/>
    <w:rsid w:val="00A872DD"/>
    <w:pPr>
      <w:numPr>
        <w:numId w:val="20"/>
      </w:numPr>
      <w:spacing w:before="0" w:after="0"/>
      <w:jc w:val="both"/>
    </w:pPr>
    <w:rPr>
      <w:sz w:val="20"/>
      <w:szCs w:val="20"/>
    </w:rPr>
  </w:style>
  <w:style w:type="character" w:styleId="FootnoteReference">
    <w:name w:val="footnote reference"/>
    <w:basedOn w:val="DefaultParagraphFont"/>
    <w:semiHidden/>
    <w:unhideWhenUsed/>
    <w:rsid w:val="00A872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4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mlaw.gov.au/Details/F2011L01356" TargetMode="External"/><Relationship Id="rId2" Type="http://schemas.openxmlformats.org/officeDocument/2006/relationships/numbering" Target="numbering.xml"/><Relationship Id="rId16" Type="http://schemas.openxmlformats.org/officeDocument/2006/relationships/hyperlink" Target="http://www.austlii.edu.au/au/legis/vic/consol_act/eatra20062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cation.vic.gov.au/Documents/training/providers/rto/tafeperformanceagreement2011.doc"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ebapps.gordontafe.edu.au/masterdocumentlist/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4992-6A93-4EE8-92D4-F5112F2C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TheGordon</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Altmeier</dc:creator>
  <cp:keywords/>
  <dc:description/>
  <cp:lastModifiedBy>Sue Matthews</cp:lastModifiedBy>
  <cp:revision>55</cp:revision>
  <cp:lastPrinted>2010-04-27T06:38:00Z</cp:lastPrinted>
  <dcterms:created xsi:type="dcterms:W3CDTF">2023-07-20T07:28:00Z</dcterms:created>
  <dcterms:modified xsi:type="dcterms:W3CDTF">2024-12-11T04:27:00Z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0478e3-4d8d-4019-aaeb-4396b68f3490_Enabled">
    <vt:lpwstr>true</vt:lpwstr>
  </property>
  <property fmtid="{D5CDD505-2E9C-101B-9397-08002B2CF9AE}" pid="3" name="MSIP_Label_e60478e3-4d8d-4019-aaeb-4396b68f3490_SetDate">
    <vt:lpwstr>2024-12-11T04:27:35Z</vt:lpwstr>
  </property>
  <property fmtid="{D5CDD505-2E9C-101B-9397-08002B2CF9AE}" pid="4" name="MSIP_Label_e60478e3-4d8d-4019-aaeb-4396b68f3490_Method">
    <vt:lpwstr>Standard</vt:lpwstr>
  </property>
  <property fmtid="{D5CDD505-2E9C-101B-9397-08002B2CF9AE}" pid="5" name="MSIP_Label_e60478e3-4d8d-4019-aaeb-4396b68f3490_Name">
    <vt:lpwstr>Official</vt:lpwstr>
  </property>
  <property fmtid="{D5CDD505-2E9C-101B-9397-08002B2CF9AE}" pid="6" name="MSIP_Label_e60478e3-4d8d-4019-aaeb-4396b68f3490_SiteId">
    <vt:lpwstr>e0bfa577-8ee6-4579-ab84-752a3ceaf5b4</vt:lpwstr>
  </property>
  <property fmtid="{D5CDD505-2E9C-101B-9397-08002B2CF9AE}" pid="7" name="MSIP_Label_e60478e3-4d8d-4019-aaeb-4396b68f3490_ActionId">
    <vt:lpwstr>a59de1d3-fa60-49ed-8814-5ce4fbc23476</vt:lpwstr>
  </property>
  <property fmtid="{D5CDD505-2E9C-101B-9397-08002B2CF9AE}" pid="8" name="MSIP_Label_e60478e3-4d8d-4019-aaeb-4396b68f3490_ContentBits">
    <vt:lpwstr>3</vt:lpwstr>
  </property>
</Properties>
</file>